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CD" w:rsidRPr="004863EE" w:rsidRDefault="00387DCD" w:rsidP="00823B17">
      <w:pPr>
        <w:tabs>
          <w:tab w:val="left" w:pos="2127"/>
          <w:tab w:val="left" w:pos="3119"/>
          <w:tab w:val="left" w:pos="4253"/>
          <w:tab w:val="left" w:pos="5670"/>
          <w:tab w:val="left" w:pos="6946"/>
          <w:tab w:val="left" w:pos="7938"/>
        </w:tabs>
        <w:rPr>
          <w:rFonts w:ascii="Arial" w:hAnsi="Arial" w:cs="Arial"/>
          <w:b/>
          <w:bCs/>
          <w:sz w:val="26"/>
          <w:szCs w:val="26"/>
        </w:rPr>
      </w:pPr>
      <w:r>
        <w:rPr>
          <w:rFonts w:ascii="Arial" w:hAnsi="Arial" w:cs="Arial"/>
          <w:b/>
          <w:bCs/>
          <w:sz w:val="28"/>
        </w:rPr>
        <w:t>Zuchtrinder– und Kälberver</w:t>
      </w:r>
      <w:r w:rsidR="000A1B3F">
        <w:rPr>
          <w:rFonts w:ascii="Arial" w:hAnsi="Arial" w:cs="Arial"/>
          <w:b/>
          <w:bCs/>
          <w:sz w:val="28"/>
        </w:rPr>
        <w:t xml:space="preserve">steigerung in Regau, </w:t>
      </w:r>
      <w:r w:rsidR="00A424B1">
        <w:rPr>
          <w:rFonts w:ascii="Arial" w:hAnsi="Arial" w:cs="Arial"/>
          <w:b/>
          <w:bCs/>
          <w:sz w:val="26"/>
          <w:szCs w:val="26"/>
        </w:rPr>
        <w:t xml:space="preserve">Montag </w:t>
      </w:r>
      <w:r w:rsidR="00D27778">
        <w:rPr>
          <w:rFonts w:ascii="Arial" w:hAnsi="Arial" w:cs="Arial"/>
          <w:b/>
          <w:bCs/>
          <w:sz w:val="26"/>
          <w:szCs w:val="26"/>
        </w:rPr>
        <w:t>04. Dezember</w:t>
      </w:r>
      <w:r w:rsidR="0017173F">
        <w:rPr>
          <w:rFonts w:ascii="Arial" w:hAnsi="Arial" w:cs="Arial"/>
          <w:b/>
          <w:bCs/>
          <w:sz w:val="26"/>
          <w:szCs w:val="26"/>
        </w:rPr>
        <w:t xml:space="preserve"> 2017</w:t>
      </w:r>
      <w:r w:rsidR="004D0203">
        <w:rPr>
          <w:rFonts w:ascii="Arial" w:hAnsi="Arial" w:cs="Arial"/>
          <w:b/>
          <w:bCs/>
          <w:sz w:val="26"/>
          <w:szCs w:val="26"/>
        </w:rPr>
        <w:t xml:space="preserve"> </w:t>
      </w:r>
    </w:p>
    <w:p w:rsidR="00387DCD" w:rsidRPr="00A635EF" w:rsidRDefault="00387DCD">
      <w:pPr>
        <w:pStyle w:val="Blocktext"/>
        <w:ind w:right="0"/>
        <w:rPr>
          <w:rFonts w:ascii="Arial" w:hAnsi="Arial" w:cs="Arial"/>
          <w:b w:val="0"/>
          <w:bCs w:val="0"/>
          <w:sz w:val="8"/>
          <w:szCs w:val="8"/>
        </w:rPr>
      </w:pPr>
    </w:p>
    <w:p w:rsidR="00A02FB1" w:rsidRDefault="00A02FB1" w:rsidP="0060365D">
      <w:pPr>
        <w:pStyle w:val="Blocktext"/>
        <w:ind w:left="0" w:right="0" w:firstLine="0"/>
        <w:jc w:val="left"/>
        <w:rPr>
          <w:rFonts w:ascii="Arial" w:hAnsi="Arial" w:cs="Arial"/>
          <w:sz w:val="24"/>
          <w:u w:val="single"/>
        </w:rPr>
      </w:pPr>
    </w:p>
    <w:p w:rsidR="00BC2D6C" w:rsidRDefault="00D27778">
      <w:pPr>
        <w:pStyle w:val="Blocktext"/>
        <w:ind w:right="0" w:firstLine="142"/>
        <w:rPr>
          <w:rFonts w:ascii="Arial" w:hAnsi="Arial" w:cs="Arial"/>
          <w:sz w:val="24"/>
        </w:rPr>
      </w:pPr>
      <w:r>
        <w:rPr>
          <w:rFonts w:ascii="Arial" w:hAnsi="Arial" w:cs="Arial"/>
          <w:sz w:val="24"/>
          <w:u w:val="single"/>
        </w:rPr>
        <w:t>Gelungener Jahresabschluss in Regau</w:t>
      </w:r>
      <w:r w:rsidR="000076CF">
        <w:rPr>
          <w:rFonts w:ascii="Arial" w:hAnsi="Arial" w:cs="Arial"/>
          <w:sz w:val="24"/>
          <w:u w:val="single"/>
        </w:rPr>
        <w:t>!</w:t>
      </w:r>
    </w:p>
    <w:p w:rsidR="00387DCD" w:rsidRDefault="00387DCD">
      <w:pPr>
        <w:tabs>
          <w:tab w:val="left" w:pos="2127"/>
          <w:tab w:val="left" w:pos="3119"/>
          <w:tab w:val="left" w:pos="4253"/>
          <w:tab w:val="left" w:pos="5670"/>
          <w:tab w:val="left" w:pos="6946"/>
          <w:tab w:val="left" w:pos="7938"/>
        </w:tabs>
        <w:jc w:val="both"/>
        <w:rPr>
          <w:rFonts w:ascii="Arial" w:hAnsi="Arial" w:cs="Arial"/>
          <w:sz w:val="8"/>
          <w:szCs w:val="8"/>
        </w:rPr>
      </w:pPr>
    </w:p>
    <w:p w:rsidR="00CD6E73" w:rsidRPr="00A635EF" w:rsidRDefault="00CD6E73">
      <w:pPr>
        <w:tabs>
          <w:tab w:val="left" w:pos="2127"/>
          <w:tab w:val="left" w:pos="3119"/>
          <w:tab w:val="left" w:pos="4253"/>
          <w:tab w:val="left" w:pos="5670"/>
          <w:tab w:val="left" w:pos="6946"/>
          <w:tab w:val="left" w:pos="7938"/>
        </w:tabs>
        <w:jc w:val="both"/>
        <w:rPr>
          <w:rFonts w:ascii="Arial" w:hAnsi="Arial" w:cs="Arial"/>
          <w:sz w:val="8"/>
          <w:szCs w:val="8"/>
        </w:rPr>
      </w:pPr>
    </w:p>
    <w:p w:rsidR="0099429C" w:rsidRDefault="00472AB6" w:rsidP="00FD2ADC">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Bei der</w:t>
      </w:r>
      <w:r w:rsidR="0083184D">
        <w:rPr>
          <w:rFonts w:ascii="Arial" w:hAnsi="Arial" w:cs="Arial"/>
          <w:sz w:val="21"/>
        </w:rPr>
        <w:t xml:space="preserve"> Zuchtrinderversteigerung vom </w:t>
      </w:r>
      <w:r w:rsidR="00D27778">
        <w:rPr>
          <w:rFonts w:ascii="Arial" w:hAnsi="Arial" w:cs="Arial"/>
          <w:sz w:val="21"/>
        </w:rPr>
        <w:t>04. Dezember</w:t>
      </w:r>
      <w:r w:rsidR="000863D1">
        <w:rPr>
          <w:rFonts w:ascii="Arial" w:hAnsi="Arial" w:cs="Arial"/>
          <w:sz w:val="21"/>
        </w:rPr>
        <w:t xml:space="preserve"> </w:t>
      </w:r>
      <w:r>
        <w:rPr>
          <w:rFonts w:ascii="Arial" w:hAnsi="Arial" w:cs="Arial"/>
          <w:sz w:val="21"/>
        </w:rPr>
        <w:t xml:space="preserve">konnte </w:t>
      </w:r>
      <w:r w:rsidR="00F71227">
        <w:rPr>
          <w:rFonts w:ascii="Arial" w:hAnsi="Arial" w:cs="Arial"/>
          <w:sz w:val="21"/>
        </w:rPr>
        <w:t xml:space="preserve">ein </w:t>
      </w:r>
      <w:r w:rsidR="00D27778">
        <w:rPr>
          <w:rFonts w:ascii="Arial" w:hAnsi="Arial" w:cs="Arial"/>
          <w:sz w:val="21"/>
        </w:rPr>
        <w:t xml:space="preserve">etwas kleinerer </w:t>
      </w:r>
      <w:r w:rsidR="0017173F">
        <w:rPr>
          <w:rFonts w:ascii="Arial" w:hAnsi="Arial" w:cs="Arial"/>
          <w:sz w:val="21"/>
        </w:rPr>
        <w:t>Auftrieb</w:t>
      </w:r>
      <w:r w:rsidR="00D27778">
        <w:rPr>
          <w:rFonts w:ascii="Arial" w:hAnsi="Arial" w:cs="Arial"/>
          <w:sz w:val="21"/>
        </w:rPr>
        <w:t xml:space="preserve"> als zuletzt</w:t>
      </w:r>
      <w:r>
        <w:rPr>
          <w:rFonts w:ascii="Arial" w:hAnsi="Arial" w:cs="Arial"/>
          <w:sz w:val="21"/>
        </w:rPr>
        <w:t xml:space="preserve"> verzeichnet werden. </w:t>
      </w:r>
      <w:r w:rsidR="00BB3191">
        <w:rPr>
          <w:rFonts w:ascii="Arial" w:hAnsi="Arial" w:cs="Arial"/>
          <w:sz w:val="21"/>
        </w:rPr>
        <w:t>Aufgrund des optimalen Versteigerungswetters war der Besuch besonders groß</w:t>
      </w:r>
      <w:r>
        <w:rPr>
          <w:rFonts w:ascii="Arial" w:hAnsi="Arial" w:cs="Arial"/>
          <w:sz w:val="21"/>
        </w:rPr>
        <w:t>.</w:t>
      </w:r>
      <w:r w:rsidR="00F71227">
        <w:rPr>
          <w:rFonts w:ascii="Arial" w:hAnsi="Arial" w:cs="Arial"/>
          <w:sz w:val="21"/>
        </w:rPr>
        <w:t xml:space="preserve"> Viele Kaufinteressenten waren nach Regau gekommen und so waren die Ränge des Versteigerungsringes gut gefüllt.</w:t>
      </w:r>
      <w:r w:rsidR="0099429C">
        <w:rPr>
          <w:rFonts w:ascii="Arial" w:hAnsi="Arial" w:cs="Arial"/>
          <w:sz w:val="21"/>
        </w:rPr>
        <w:t xml:space="preserve"> Die angebotenen Kühe in Milch konnten daher bei einem flotten Versteigerungsverlauf zu Spitzenpreisen vermarktet werden.</w:t>
      </w:r>
      <w:r>
        <w:rPr>
          <w:rFonts w:ascii="Arial" w:hAnsi="Arial" w:cs="Arial"/>
          <w:sz w:val="21"/>
        </w:rPr>
        <w:t xml:space="preserve"> </w:t>
      </w:r>
      <w:r w:rsidR="00CD6E73">
        <w:rPr>
          <w:rFonts w:ascii="Arial" w:hAnsi="Arial" w:cs="Arial"/>
          <w:sz w:val="21"/>
        </w:rPr>
        <w:t>Die Nach</w:t>
      </w:r>
      <w:r w:rsidR="008B67A0">
        <w:rPr>
          <w:rFonts w:ascii="Arial" w:hAnsi="Arial" w:cs="Arial"/>
          <w:sz w:val="21"/>
        </w:rPr>
        <w:t xml:space="preserve">frage nach trächtigen Kalbinnen </w:t>
      </w:r>
      <w:r w:rsidR="006373FD">
        <w:rPr>
          <w:rFonts w:ascii="Arial" w:hAnsi="Arial" w:cs="Arial"/>
          <w:sz w:val="21"/>
        </w:rPr>
        <w:t xml:space="preserve">für den Türkei-Export war </w:t>
      </w:r>
      <w:r w:rsidR="00D27778">
        <w:rPr>
          <w:rFonts w:ascii="Arial" w:hAnsi="Arial" w:cs="Arial"/>
          <w:sz w:val="21"/>
        </w:rPr>
        <w:t>wie erwartet etwas</w:t>
      </w:r>
      <w:r w:rsidR="00F71227">
        <w:rPr>
          <w:rFonts w:ascii="Arial" w:hAnsi="Arial" w:cs="Arial"/>
          <w:sz w:val="21"/>
        </w:rPr>
        <w:t xml:space="preserve"> gedämpfter, </w:t>
      </w:r>
      <w:r w:rsidR="00D27778">
        <w:rPr>
          <w:rFonts w:ascii="Arial" w:hAnsi="Arial" w:cs="Arial"/>
          <w:sz w:val="21"/>
        </w:rPr>
        <w:t>wobei man mit der Preisbildung trotzdem durchaus zufrieden sein konnte</w:t>
      </w:r>
      <w:r w:rsidR="00BB3191">
        <w:rPr>
          <w:rFonts w:ascii="Arial" w:hAnsi="Arial" w:cs="Arial"/>
          <w:sz w:val="21"/>
        </w:rPr>
        <w:t xml:space="preserve">. </w:t>
      </w:r>
      <w:r w:rsidR="008B67A0">
        <w:rPr>
          <w:rFonts w:ascii="Arial" w:hAnsi="Arial" w:cs="Arial"/>
          <w:sz w:val="21"/>
        </w:rPr>
        <w:t xml:space="preserve">Insgesamt wurden von den anwesenden Firmen </w:t>
      </w:r>
      <w:r w:rsidR="00D27778">
        <w:rPr>
          <w:rFonts w:ascii="Arial" w:hAnsi="Arial" w:cs="Arial"/>
          <w:sz w:val="21"/>
        </w:rPr>
        <w:t>3</w:t>
      </w:r>
      <w:r w:rsidR="00F71227">
        <w:rPr>
          <w:rFonts w:ascii="Arial" w:hAnsi="Arial" w:cs="Arial"/>
          <w:sz w:val="21"/>
        </w:rPr>
        <w:t>2</w:t>
      </w:r>
      <w:r w:rsidR="008B67A0">
        <w:rPr>
          <w:rFonts w:ascii="Arial" w:hAnsi="Arial" w:cs="Arial"/>
          <w:sz w:val="21"/>
        </w:rPr>
        <w:t xml:space="preserve"> trächtige Kalbinnen zum Durchschnittspreis von € </w:t>
      </w:r>
      <w:r w:rsidR="00D27778">
        <w:rPr>
          <w:rFonts w:ascii="Arial" w:hAnsi="Arial" w:cs="Arial"/>
          <w:sz w:val="21"/>
        </w:rPr>
        <w:t>1.976</w:t>
      </w:r>
      <w:r w:rsidR="008B67A0">
        <w:rPr>
          <w:rFonts w:ascii="Arial" w:hAnsi="Arial" w:cs="Arial"/>
          <w:sz w:val="21"/>
        </w:rPr>
        <w:t>,-</w:t>
      </w:r>
      <w:r w:rsidR="00BB3191">
        <w:rPr>
          <w:rFonts w:ascii="Arial" w:hAnsi="Arial" w:cs="Arial"/>
          <w:sz w:val="21"/>
        </w:rPr>
        <w:t xml:space="preserve"> netto</w:t>
      </w:r>
      <w:r w:rsidR="008B67A0">
        <w:rPr>
          <w:rFonts w:ascii="Arial" w:hAnsi="Arial" w:cs="Arial"/>
          <w:sz w:val="21"/>
        </w:rPr>
        <w:t xml:space="preserve"> angekauft. Die Preisspanne reichte je nach Qualität von € </w:t>
      </w:r>
      <w:r w:rsidR="00B14053">
        <w:rPr>
          <w:rFonts w:ascii="Arial" w:hAnsi="Arial" w:cs="Arial"/>
          <w:sz w:val="21"/>
        </w:rPr>
        <w:t>1.</w:t>
      </w:r>
      <w:r w:rsidR="00D27778">
        <w:rPr>
          <w:rFonts w:ascii="Arial" w:hAnsi="Arial" w:cs="Arial"/>
          <w:sz w:val="21"/>
        </w:rPr>
        <w:t>760</w:t>
      </w:r>
      <w:r w:rsidR="008B67A0">
        <w:rPr>
          <w:rFonts w:ascii="Arial" w:hAnsi="Arial" w:cs="Arial"/>
          <w:sz w:val="21"/>
        </w:rPr>
        <w:t>,- bis € 2.</w:t>
      </w:r>
      <w:r w:rsidR="00D27778">
        <w:rPr>
          <w:rFonts w:ascii="Arial" w:hAnsi="Arial" w:cs="Arial"/>
          <w:sz w:val="21"/>
        </w:rPr>
        <w:t>20</w:t>
      </w:r>
      <w:r w:rsidR="008B67A0">
        <w:rPr>
          <w:rFonts w:ascii="Arial" w:hAnsi="Arial" w:cs="Arial"/>
          <w:sz w:val="21"/>
        </w:rPr>
        <w:t xml:space="preserve">0,-. </w:t>
      </w:r>
      <w:r w:rsidR="00D27778">
        <w:rPr>
          <w:rFonts w:ascii="Arial" w:hAnsi="Arial" w:cs="Arial"/>
          <w:sz w:val="21"/>
        </w:rPr>
        <w:t>11</w:t>
      </w:r>
      <w:r w:rsidR="00CD6E73">
        <w:rPr>
          <w:rFonts w:ascii="Arial" w:hAnsi="Arial" w:cs="Arial"/>
          <w:sz w:val="21"/>
        </w:rPr>
        <w:t xml:space="preserve"> Hochträchtige Kalbinnen wurden durch Landwirte aus der Region angekauft. </w:t>
      </w:r>
      <w:r w:rsidR="00C26EA9">
        <w:rPr>
          <w:rFonts w:ascii="Arial" w:hAnsi="Arial" w:cs="Arial"/>
          <w:sz w:val="21"/>
        </w:rPr>
        <w:t>Hier war die Preisbildung eher verhalten.</w:t>
      </w:r>
    </w:p>
    <w:p w:rsidR="000076CF" w:rsidRDefault="000A284B" w:rsidP="00FD2ADC">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G</w:t>
      </w:r>
      <w:r w:rsidR="003458E6">
        <w:rPr>
          <w:rFonts w:ascii="Arial" w:hAnsi="Arial" w:cs="Arial"/>
          <w:sz w:val="21"/>
        </w:rPr>
        <w:t xml:space="preserve">ute Preise </w:t>
      </w:r>
      <w:r w:rsidR="00B55F84">
        <w:rPr>
          <w:rFonts w:ascii="Arial" w:hAnsi="Arial" w:cs="Arial"/>
          <w:sz w:val="21"/>
        </w:rPr>
        <w:t xml:space="preserve">konnten auch </w:t>
      </w:r>
      <w:r w:rsidR="008479BB">
        <w:rPr>
          <w:rFonts w:ascii="Arial" w:hAnsi="Arial" w:cs="Arial"/>
          <w:sz w:val="21"/>
        </w:rPr>
        <w:t>bei den Zuchtkälbern</w:t>
      </w:r>
      <w:r w:rsidR="003458E6">
        <w:rPr>
          <w:rFonts w:ascii="Arial" w:hAnsi="Arial" w:cs="Arial"/>
          <w:sz w:val="21"/>
        </w:rPr>
        <w:t xml:space="preserve"> erzielt werden</w:t>
      </w:r>
      <w:r w:rsidR="008479BB">
        <w:rPr>
          <w:rFonts w:ascii="Arial" w:hAnsi="Arial" w:cs="Arial"/>
          <w:sz w:val="21"/>
        </w:rPr>
        <w:t xml:space="preserve">. </w:t>
      </w:r>
      <w:r w:rsidR="003458E6">
        <w:rPr>
          <w:rFonts w:ascii="Arial" w:hAnsi="Arial" w:cs="Arial"/>
          <w:sz w:val="21"/>
        </w:rPr>
        <w:t>Besonders gefragt waren Kälber über 100 kg mit überdurchschnittlichen Leistungen</w:t>
      </w:r>
      <w:r w:rsidR="008479BB">
        <w:rPr>
          <w:rFonts w:ascii="Arial" w:hAnsi="Arial" w:cs="Arial"/>
          <w:sz w:val="21"/>
        </w:rPr>
        <w:t xml:space="preserve">. Bei den männlichen und weiblichen Nutzkälbern war die </w:t>
      </w:r>
      <w:r w:rsidR="003458E6">
        <w:rPr>
          <w:rFonts w:ascii="Arial" w:hAnsi="Arial" w:cs="Arial"/>
          <w:sz w:val="21"/>
        </w:rPr>
        <w:t>Nachfrage</w:t>
      </w:r>
      <w:r w:rsidR="008479BB">
        <w:rPr>
          <w:rFonts w:ascii="Arial" w:hAnsi="Arial" w:cs="Arial"/>
          <w:sz w:val="21"/>
        </w:rPr>
        <w:t xml:space="preserve"> ebenfalls </w:t>
      </w:r>
      <w:r w:rsidR="0017173F">
        <w:rPr>
          <w:rFonts w:ascii="Arial" w:hAnsi="Arial" w:cs="Arial"/>
          <w:sz w:val="21"/>
        </w:rPr>
        <w:t>gut</w:t>
      </w:r>
      <w:r w:rsidR="008479BB">
        <w:rPr>
          <w:rFonts w:ascii="Arial" w:hAnsi="Arial" w:cs="Arial"/>
          <w:sz w:val="21"/>
        </w:rPr>
        <w:t xml:space="preserve">. </w:t>
      </w:r>
      <w:r w:rsidR="003458E6">
        <w:rPr>
          <w:rFonts w:ascii="Arial" w:hAnsi="Arial" w:cs="Arial"/>
          <w:sz w:val="21"/>
        </w:rPr>
        <w:t xml:space="preserve">Dies führte zu </w:t>
      </w:r>
      <w:r w:rsidR="00857F14">
        <w:rPr>
          <w:rFonts w:ascii="Arial" w:hAnsi="Arial" w:cs="Arial"/>
          <w:sz w:val="21"/>
        </w:rPr>
        <w:t>einer sehr zufriedenstellenden Preisbildung</w:t>
      </w:r>
      <w:r w:rsidR="003458E6">
        <w:rPr>
          <w:rFonts w:ascii="Arial" w:hAnsi="Arial" w:cs="Arial"/>
          <w:sz w:val="21"/>
        </w:rPr>
        <w:t xml:space="preserve"> in allen Kategorien.</w:t>
      </w:r>
    </w:p>
    <w:p w:rsidR="00387DCD" w:rsidRDefault="00D27778">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20</w:t>
      </w:r>
      <w:r w:rsidR="00387DCD">
        <w:rPr>
          <w:rFonts w:ascii="Arial" w:hAnsi="Arial" w:cs="Arial"/>
          <w:sz w:val="21"/>
        </w:rPr>
        <w:t xml:space="preserve"> </w:t>
      </w:r>
      <w:r w:rsidR="00387DCD">
        <w:rPr>
          <w:rFonts w:ascii="Arial" w:hAnsi="Arial" w:cs="Arial"/>
          <w:b/>
          <w:bCs/>
          <w:sz w:val="21"/>
        </w:rPr>
        <w:t>Kühe</w:t>
      </w:r>
      <w:r w:rsidR="00387DCD">
        <w:rPr>
          <w:rFonts w:ascii="Arial" w:hAnsi="Arial" w:cs="Arial"/>
          <w:sz w:val="21"/>
        </w:rPr>
        <w:t xml:space="preserve"> in</w:t>
      </w:r>
      <w:r w:rsidR="005F2DC6">
        <w:rPr>
          <w:rFonts w:ascii="Arial" w:hAnsi="Arial" w:cs="Arial"/>
          <w:sz w:val="21"/>
        </w:rPr>
        <w:t xml:space="preserve"> </w:t>
      </w:r>
      <w:r w:rsidR="0099429C">
        <w:rPr>
          <w:rFonts w:ascii="Arial" w:hAnsi="Arial" w:cs="Arial"/>
          <w:sz w:val="21"/>
        </w:rPr>
        <w:t>über</w:t>
      </w:r>
      <w:r w:rsidR="0017173F">
        <w:rPr>
          <w:rFonts w:ascii="Arial" w:hAnsi="Arial" w:cs="Arial"/>
          <w:sz w:val="21"/>
        </w:rPr>
        <w:t>durchschnittlicher</w:t>
      </w:r>
      <w:r w:rsidR="0034756A">
        <w:rPr>
          <w:rFonts w:ascii="Arial" w:hAnsi="Arial" w:cs="Arial"/>
          <w:sz w:val="21"/>
        </w:rPr>
        <w:t xml:space="preserve"> Qualität</w:t>
      </w:r>
      <w:r w:rsidR="00387DCD">
        <w:rPr>
          <w:rFonts w:ascii="Arial" w:hAnsi="Arial" w:cs="Arial"/>
          <w:sz w:val="21"/>
        </w:rPr>
        <w:t xml:space="preserve"> (</w:t>
      </w:r>
      <w:r w:rsidR="00BB3191">
        <w:rPr>
          <w:rFonts w:ascii="Arial" w:hAnsi="Arial" w:cs="Arial"/>
          <w:sz w:val="21"/>
        </w:rPr>
        <w:t>2</w:t>
      </w:r>
      <w:r>
        <w:rPr>
          <w:rFonts w:ascii="Arial" w:hAnsi="Arial" w:cs="Arial"/>
          <w:sz w:val="21"/>
        </w:rPr>
        <w:t>7,7</w:t>
      </w:r>
      <w:r w:rsidR="00D85EE5">
        <w:rPr>
          <w:rFonts w:ascii="Arial" w:hAnsi="Arial" w:cs="Arial"/>
          <w:sz w:val="21"/>
        </w:rPr>
        <w:t xml:space="preserve"> </w:t>
      </w:r>
      <w:r w:rsidR="00387DCD">
        <w:rPr>
          <w:rFonts w:ascii="Arial" w:hAnsi="Arial" w:cs="Arial"/>
          <w:sz w:val="21"/>
        </w:rPr>
        <w:t xml:space="preserve">l garantierte Eigenmessung im Schnitt) kosteten im Schnitt € </w:t>
      </w:r>
      <w:r w:rsidR="0099429C">
        <w:rPr>
          <w:rFonts w:ascii="Arial" w:hAnsi="Arial" w:cs="Arial"/>
          <w:sz w:val="21"/>
        </w:rPr>
        <w:t>2.</w:t>
      </w:r>
      <w:r>
        <w:rPr>
          <w:rFonts w:ascii="Arial" w:hAnsi="Arial" w:cs="Arial"/>
          <w:sz w:val="21"/>
        </w:rPr>
        <w:t>023</w:t>
      </w:r>
      <w:r w:rsidR="00B14053">
        <w:rPr>
          <w:rFonts w:ascii="Arial" w:hAnsi="Arial" w:cs="Arial"/>
          <w:sz w:val="21"/>
        </w:rPr>
        <w:t>,-</w:t>
      </w:r>
      <w:r w:rsidR="00925C17">
        <w:rPr>
          <w:rFonts w:ascii="Arial" w:hAnsi="Arial" w:cs="Arial"/>
          <w:sz w:val="21"/>
        </w:rPr>
        <w:t xml:space="preserve"> </w:t>
      </w:r>
      <w:r w:rsidR="003E556E">
        <w:rPr>
          <w:rFonts w:ascii="Arial" w:hAnsi="Arial" w:cs="Arial"/>
          <w:sz w:val="21"/>
        </w:rPr>
        <w:t>(</w:t>
      </w:r>
      <w:r>
        <w:rPr>
          <w:rFonts w:ascii="Arial" w:hAnsi="Arial" w:cs="Arial"/>
          <w:sz w:val="21"/>
        </w:rPr>
        <w:t>-</w:t>
      </w:r>
      <w:r w:rsidR="00F20875">
        <w:rPr>
          <w:rFonts w:ascii="Arial" w:hAnsi="Arial" w:cs="Arial"/>
          <w:sz w:val="21"/>
        </w:rPr>
        <w:t>€</w:t>
      </w:r>
      <w:r>
        <w:rPr>
          <w:rFonts w:ascii="Arial" w:hAnsi="Arial" w:cs="Arial"/>
          <w:sz w:val="21"/>
        </w:rPr>
        <w:t xml:space="preserve"> 12,</w:t>
      </w:r>
      <w:proofErr w:type="gramStart"/>
      <w:r>
        <w:rPr>
          <w:rFonts w:ascii="Arial" w:hAnsi="Arial" w:cs="Arial"/>
          <w:sz w:val="21"/>
        </w:rPr>
        <w:t>45</w:t>
      </w:r>
      <w:r w:rsidR="00F20875">
        <w:rPr>
          <w:rFonts w:ascii="Arial" w:hAnsi="Arial" w:cs="Arial"/>
          <w:sz w:val="21"/>
        </w:rPr>
        <w:t xml:space="preserve"> </w:t>
      </w:r>
      <w:r w:rsidR="00441C71">
        <w:rPr>
          <w:rFonts w:ascii="Arial" w:hAnsi="Arial" w:cs="Arial"/>
          <w:sz w:val="21"/>
        </w:rPr>
        <w:t>)</w:t>
      </w:r>
      <w:proofErr w:type="gramEnd"/>
      <w:r w:rsidR="00387DCD">
        <w:rPr>
          <w:rFonts w:ascii="Arial" w:hAnsi="Arial" w:cs="Arial"/>
          <w:sz w:val="21"/>
        </w:rPr>
        <w:t>. Zu</w:t>
      </w:r>
      <w:r w:rsidR="00C16707">
        <w:rPr>
          <w:rFonts w:ascii="Arial" w:hAnsi="Arial" w:cs="Arial"/>
          <w:sz w:val="21"/>
        </w:rPr>
        <w:t>m</w:t>
      </w:r>
      <w:r w:rsidR="00387DCD">
        <w:rPr>
          <w:rFonts w:ascii="Arial" w:hAnsi="Arial" w:cs="Arial"/>
          <w:sz w:val="21"/>
        </w:rPr>
        <w:t xml:space="preserve"> Spitzenpreis</w:t>
      </w:r>
      <w:r w:rsidR="00C16707">
        <w:rPr>
          <w:rFonts w:ascii="Arial" w:hAnsi="Arial" w:cs="Arial"/>
          <w:sz w:val="21"/>
        </w:rPr>
        <w:t xml:space="preserve"> </w:t>
      </w:r>
      <w:r w:rsidR="00361200">
        <w:rPr>
          <w:rFonts w:ascii="Arial" w:hAnsi="Arial" w:cs="Arial"/>
          <w:sz w:val="21"/>
        </w:rPr>
        <w:t xml:space="preserve">von € </w:t>
      </w:r>
      <w:r w:rsidR="004363A5">
        <w:rPr>
          <w:rFonts w:ascii="Arial" w:hAnsi="Arial" w:cs="Arial"/>
          <w:sz w:val="21"/>
        </w:rPr>
        <w:t>2.</w:t>
      </w:r>
      <w:r>
        <w:rPr>
          <w:rFonts w:ascii="Arial" w:hAnsi="Arial" w:cs="Arial"/>
          <w:sz w:val="21"/>
        </w:rPr>
        <w:t>5</w:t>
      </w:r>
      <w:r w:rsidR="0099429C">
        <w:rPr>
          <w:rFonts w:ascii="Arial" w:hAnsi="Arial" w:cs="Arial"/>
          <w:sz w:val="21"/>
        </w:rPr>
        <w:t>60</w:t>
      </w:r>
      <w:r w:rsidR="00361200">
        <w:rPr>
          <w:rFonts w:ascii="Arial" w:hAnsi="Arial" w:cs="Arial"/>
          <w:sz w:val="21"/>
        </w:rPr>
        <w:t>,-</w:t>
      </w:r>
      <w:r w:rsidR="00542D72">
        <w:rPr>
          <w:rFonts w:ascii="Arial" w:hAnsi="Arial" w:cs="Arial"/>
          <w:sz w:val="21"/>
        </w:rPr>
        <w:t xml:space="preserve"> </w:t>
      </w:r>
      <w:r w:rsidR="001024A3">
        <w:rPr>
          <w:rFonts w:ascii="Arial" w:hAnsi="Arial" w:cs="Arial"/>
          <w:sz w:val="21"/>
        </w:rPr>
        <w:t xml:space="preserve">verkaufte der </w:t>
      </w:r>
      <w:r w:rsidR="003458E6">
        <w:rPr>
          <w:rFonts w:ascii="Arial" w:hAnsi="Arial" w:cs="Arial"/>
          <w:sz w:val="21"/>
        </w:rPr>
        <w:t xml:space="preserve">Zuchtbetrieb </w:t>
      </w:r>
      <w:r w:rsidR="00B14053">
        <w:rPr>
          <w:rFonts w:ascii="Arial" w:hAnsi="Arial" w:cs="Arial"/>
          <w:sz w:val="21"/>
        </w:rPr>
        <w:t xml:space="preserve">Wimmer aus </w:t>
      </w:r>
      <w:proofErr w:type="spellStart"/>
      <w:r w:rsidR="00B14053">
        <w:rPr>
          <w:rFonts w:ascii="Arial" w:hAnsi="Arial" w:cs="Arial"/>
          <w:sz w:val="21"/>
        </w:rPr>
        <w:t>Haidershofen</w:t>
      </w:r>
      <w:proofErr w:type="spellEnd"/>
      <w:r w:rsidR="0017173F">
        <w:rPr>
          <w:rFonts w:ascii="Arial" w:hAnsi="Arial" w:cs="Arial"/>
          <w:sz w:val="21"/>
        </w:rPr>
        <w:t xml:space="preserve"> </w:t>
      </w:r>
      <w:r w:rsidR="00E20D1A">
        <w:rPr>
          <w:rFonts w:ascii="Arial" w:hAnsi="Arial" w:cs="Arial"/>
          <w:sz w:val="21"/>
        </w:rPr>
        <w:t xml:space="preserve">eine </w:t>
      </w:r>
      <w:proofErr w:type="spellStart"/>
      <w:r>
        <w:rPr>
          <w:rFonts w:ascii="Arial" w:hAnsi="Arial" w:cs="Arial"/>
          <w:sz w:val="21"/>
        </w:rPr>
        <w:t>Versetto</w:t>
      </w:r>
      <w:proofErr w:type="spellEnd"/>
      <w:r w:rsidR="00E20D1A">
        <w:rPr>
          <w:rFonts w:ascii="Arial" w:hAnsi="Arial" w:cs="Arial"/>
          <w:sz w:val="21"/>
        </w:rPr>
        <w:t xml:space="preserve">-Tochter </w:t>
      </w:r>
      <w:r w:rsidR="0017173F">
        <w:rPr>
          <w:rFonts w:ascii="Arial" w:hAnsi="Arial" w:cs="Arial"/>
          <w:sz w:val="21"/>
        </w:rPr>
        <w:t xml:space="preserve">mit </w:t>
      </w:r>
      <w:r w:rsidR="00956092">
        <w:rPr>
          <w:rFonts w:ascii="Arial" w:hAnsi="Arial" w:cs="Arial"/>
          <w:sz w:val="21"/>
        </w:rPr>
        <w:t xml:space="preserve">über </w:t>
      </w:r>
      <w:r w:rsidR="0099429C">
        <w:rPr>
          <w:rFonts w:ascii="Arial" w:hAnsi="Arial" w:cs="Arial"/>
          <w:sz w:val="21"/>
        </w:rPr>
        <w:t>3</w:t>
      </w:r>
      <w:r>
        <w:rPr>
          <w:rFonts w:ascii="Arial" w:hAnsi="Arial" w:cs="Arial"/>
          <w:sz w:val="21"/>
        </w:rPr>
        <w:t>2</w:t>
      </w:r>
      <w:r w:rsidR="00956092">
        <w:rPr>
          <w:rFonts w:ascii="Arial" w:hAnsi="Arial" w:cs="Arial"/>
          <w:sz w:val="21"/>
        </w:rPr>
        <w:t xml:space="preserve"> l Einsatzleistung.</w:t>
      </w:r>
      <w:r w:rsidR="00857F14">
        <w:rPr>
          <w:rFonts w:ascii="Arial" w:hAnsi="Arial" w:cs="Arial"/>
          <w:sz w:val="21"/>
        </w:rPr>
        <w:t xml:space="preserve"> </w:t>
      </w:r>
      <w:r w:rsidR="0099429C">
        <w:rPr>
          <w:rFonts w:ascii="Arial" w:hAnsi="Arial" w:cs="Arial"/>
          <w:sz w:val="21"/>
        </w:rPr>
        <w:t>Mehr als die Hälfte der angebotenen Kühe erzielte einen Verkaufspreis über € 2.000,-.</w:t>
      </w:r>
    </w:p>
    <w:p w:rsidR="00387DCD" w:rsidRPr="00F32759" w:rsidRDefault="00387DCD">
      <w:pPr>
        <w:tabs>
          <w:tab w:val="left" w:pos="2127"/>
          <w:tab w:val="left" w:pos="3119"/>
          <w:tab w:val="left" w:pos="4253"/>
          <w:tab w:val="left" w:pos="5670"/>
          <w:tab w:val="left" w:pos="6946"/>
          <w:tab w:val="left" w:pos="7938"/>
        </w:tabs>
        <w:jc w:val="both"/>
        <w:rPr>
          <w:rFonts w:ascii="Arial" w:hAnsi="Arial" w:cs="Arial"/>
          <w:sz w:val="12"/>
          <w:szCs w:val="12"/>
        </w:rPr>
      </w:pPr>
    </w:p>
    <w:p w:rsidR="00203328" w:rsidRDefault="0095017E">
      <w:pPr>
        <w:tabs>
          <w:tab w:val="left" w:pos="2127"/>
          <w:tab w:val="left" w:pos="3119"/>
          <w:tab w:val="left" w:pos="4253"/>
          <w:tab w:val="left" w:pos="5670"/>
          <w:tab w:val="left" w:pos="6946"/>
          <w:tab w:val="left" w:pos="7938"/>
        </w:tabs>
        <w:jc w:val="both"/>
        <w:rPr>
          <w:rFonts w:ascii="Arial" w:hAnsi="Arial" w:cs="Arial"/>
          <w:sz w:val="21"/>
        </w:rPr>
      </w:pPr>
      <w:r>
        <w:rPr>
          <w:rFonts w:ascii="Arial" w:hAnsi="Arial" w:cs="Arial"/>
          <w:sz w:val="21"/>
        </w:rPr>
        <w:t xml:space="preserve">Der Durchschnittspreis der </w:t>
      </w:r>
      <w:r w:rsidR="00C26EA9">
        <w:rPr>
          <w:rFonts w:ascii="Arial" w:hAnsi="Arial" w:cs="Arial"/>
          <w:sz w:val="21"/>
        </w:rPr>
        <w:t>43</w:t>
      </w:r>
      <w:r w:rsidR="009174E1">
        <w:rPr>
          <w:rFonts w:ascii="Arial" w:hAnsi="Arial" w:cs="Arial"/>
          <w:sz w:val="21"/>
        </w:rPr>
        <w:t xml:space="preserve"> </w:t>
      </w:r>
      <w:r w:rsidR="006373FD">
        <w:rPr>
          <w:rFonts w:ascii="Arial" w:hAnsi="Arial" w:cs="Arial"/>
          <w:sz w:val="21"/>
        </w:rPr>
        <w:t>verkauften</w:t>
      </w:r>
      <w:r w:rsidR="000A284B">
        <w:rPr>
          <w:rFonts w:ascii="Arial" w:hAnsi="Arial" w:cs="Arial"/>
          <w:sz w:val="21"/>
        </w:rPr>
        <w:t xml:space="preserve"> </w:t>
      </w:r>
      <w:proofErr w:type="gramStart"/>
      <w:r w:rsidR="00387DCD">
        <w:rPr>
          <w:rFonts w:ascii="Arial" w:hAnsi="Arial" w:cs="Arial"/>
          <w:b/>
          <w:bCs/>
          <w:sz w:val="21"/>
        </w:rPr>
        <w:t>Kalbinnen</w:t>
      </w:r>
      <w:r w:rsidR="00F91E18">
        <w:rPr>
          <w:rFonts w:ascii="Arial" w:hAnsi="Arial" w:cs="Arial"/>
          <w:b/>
          <w:bCs/>
          <w:sz w:val="21"/>
        </w:rPr>
        <w:t xml:space="preserve"> </w:t>
      </w:r>
      <w:r w:rsidR="00F53D14">
        <w:rPr>
          <w:rFonts w:ascii="Arial" w:hAnsi="Arial" w:cs="Arial"/>
          <w:bCs/>
          <w:sz w:val="21"/>
        </w:rPr>
        <w:t xml:space="preserve"> </w:t>
      </w:r>
      <w:r w:rsidR="00925555">
        <w:rPr>
          <w:rFonts w:ascii="Arial" w:hAnsi="Arial" w:cs="Arial"/>
          <w:bCs/>
          <w:sz w:val="21"/>
        </w:rPr>
        <w:t>war</w:t>
      </w:r>
      <w:proofErr w:type="gramEnd"/>
      <w:r w:rsidR="00925555">
        <w:rPr>
          <w:rFonts w:ascii="Arial" w:hAnsi="Arial" w:cs="Arial"/>
          <w:bCs/>
          <w:sz w:val="21"/>
        </w:rPr>
        <w:t xml:space="preserve"> mit </w:t>
      </w:r>
      <w:r w:rsidR="006103B0">
        <w:rPr>
          <w:rFonts w:ascii="Arial" w:hAnsi="Arial" w:cs="Arial"/>
          <w:bCs/>
          <w:sz w:val="21"/>
        </w:rPr>
        <w:t xml:space="preserve">€ </w:t>
      </w:r>
      <w:r w:rsidR="0099429C">
        <w:rPr>
          <w:rFonts w:ascii="Arial" w:hAnsi="Arial" w:cs="Arial"/>
          <w:bCs/>
          <w:sz w:val="21"/>
        </w:rPr>
        <w:t>1.</w:t>
      </w:r>
      <w:r w:rsidR="00C26EA9">
        <w:rPr>
          <w:rFonts w:ascii="Arial" w:hAnsi="Arial" w:cs="Arial"/>
          <w:bCs/>
          <w:sz w:val="21"/>
        </w:rPr>
        <w:t>842,33</w:t>
      </w:r>
      <w:r w:rsidR="00150E15">
        <w:rPr>
          <w:rFonts w:ascii="Arial" w:hAnsi="Arial" w:cs="Arial"/>
          <w:bCs/>
          <w:sz w:val="21"/>
        </w:rPr>
        <w:t xml:space="preserve"> </w:t>
      </w:r>
      <w:r w:rsidR="00956092">
        <w:rPr>
          <w:rFonts w:ascii="Arial" w:hAnsi="Arial" w:cs="Arial"/>
          <w:bCs/>
          <w:sz w:val="21"/>
        </w:rPr>
        <w:t>(</w:t>
      </w:r>
      <w:r w:rsidR="00B14053">
        <w:rPr>
          <w:rFonts w:ascii="Arial" w:hAnsi="Arial" w:cs="Arial"/>
          <w:bCs/>
          <w:sz w:val="21"/>
        </w:rPr>
        <w:t xml:space="preserve">-€ </w:t>
      </w:r>
      <w:r w:rsidR="00C26EA9">
        <w:rPr>
          <w:rFonts w:ascii="Arial" w:hAnsi="Arial" w:cs="Arial"/>
          <w:bCs/>
          <w:sz w:val="21"/>
        </w:rPr>
        <w:t>116,99</w:t>
      </w:r>
      <w:r w:rsidR="00DB3651">
        <w:rPr>
          <w:rFonts w:ascii="Arial" w:hAnsi="Arial" w:cs="Arial"/>
          <w:bCs/>
          <w:sz w:val="21"/>
        </w:rPr>
        <w:t xml:space="preserve">) </w:t>
      </w:r>
      <w:r w:rsidR="006373FD">
        <w:rPr>
          <w:rFonts w:ascii="Arial" w:hAnsi="Arial" w:cs="Arial"/>
          <w:bCs/>
          <w:sz w:val="21"/>
        </w:rPr>
        <w:t xml:space="preserve">weiterhin auf </w:t>
      </w:r>
      <w:r w:rsidR="0099429C">
        <w:rPr>
          <w:rFonts w:ascii="Arial" w:hAnsi="Arial" w:cs="Arial"/>
          <w:bCs/>
          <w:sz w:val="21"/>
        </w:rPr>
        <w:t>einem</w:t>
      </w:r>
      <w:r w:rsidR="00956092">
        <w:rPr>
          <w:rFonts w:ascii="Arial" w:hAnsi="Arial" w:cs="Arial"/>
          <w:bCs/>
          <w:sz w:val="21"/>
        </w:rPr>
        <w:t xml:space="preserve"> </w:t>
      </w:r>
      <w:r w:rsidR="006373FD">
        <w:rPr>
          <w:rFonts w:ascii="Arial" w:hAnsi="Arial" w:cs="Arial"/>
          <w:bCs/>
          <w:sz w:val="21"/>
        </w:rPr>
        <w:t>zufriedenstellendem Niveau</w:t>
      </w:r>
      <w:r w:rsidR="00F91E18">
        <w:rPr>
          <w:rFonts w:ascii="Arial" w:hAnsi="Arial" w:cs="Arial"/>
          <w:sz w:val="21"/>
        </w:rPr>
        <w:t>.</w:t>
      </w:r>
      <w:r w:rsidR="00F478F3">
        <w:rPr>
          <w:rFonts w:ascii="Arial" w:hAnsi="Arial" w:cs="Arial"/>
          <w:sz w:val="21"/>
        </w:rPr>
        <w:t xml:space="preserve"> </w:t>
      </w:r>
      <w:r w:rsidR="004913CA">
        <w:rPr>
          <w:rFonts w:ascii="Arial" w:hAnsi="Arial" w:cs="Arial"/>
          <w:sz w:val="21"/>
        </w:rPr>
        <w:t xml:space="preserve">Die Qualität war </w:t>
      </w:r>
      <w:r w:rsidR="00CC3CD6">
        <w:rPr>
          <w:rFonts w:ascii="Arial" w:hAnsi="Arial" w:cs="Arial"/>
          <w:sz w:val="21"/>
        </w:rPr>
        <w:t>speziell was die körperliche Entwicklung der Tiere angeht</w:t>
      </w:r>
      <w:r w:rsidR="00CC3CD6" w:rsidRPr="00CC3CD6">
        <w:rPr>
          <w:rFonts w:ascii="Arial" w:hAnsi="Arial" w:cs="Arial"/>
          <w:sz w:val="21"/>
        </w:rPr>
        <w:t xml:space="preserve"> </w:t>
      </w:r>
      <w:r w:rsidR="0099429C">
        <w:rPr>
          <w:rFonts w:ascii="Arial" w:hAnsi="Arial" w:cs="Arial"/>
          <w:sz w:val="21"/>
        </w:rPr>
        <w:t>sehr unterschiedlich</w:t>
      </w:r>
      <w:r w:rsidR="004913CA">
        <w:rPr>
          <w:rFonts w:ascii="Arial" w:hAnsi="Arial" w:cs="Arial"/>
          <w:sz w:val="21"/>
        </w:rPr>
        <w:t>.</w:t>
      </w:r>
      <w:r w:rsidR="003458E6">
        <w:rPr>
          <w:rFonts w:ascii="Arial" w:hAnsi="Arial" w:cs="Arial"/>
          <w:sz w:val="21"/>
        </w:rPr>
        <w:t xml:space="preserve"> </w:t>
      </w:r>
      <w:r w:rsidR="0099429C">
        <w:rPr>
          <w:rFonts w:ascii="Arial" w:hAnsi="Arial" w:cs="Arial"/>
          <w:sz w:val="21"/>
        </w:rPr>
        <w:t xml:space="preserve">Insgesamt ist die Nachfrage aus der Türkei in den letzten </w:t>
      </w:r>
      <w:r w:rsidR="00C26EA9">
        <w:rPr>
          <w:rFonts w:ascii="Arial" w:hAnsi="Arial" w:cs="Arial"/>
          <w:sz w:val="21"/>
        </w:rPr>
        <w:t>Wochen</w:t>
      </w:r>
      <w:r w:rsidR="0099429C">
        <w:rPr>
          <w:rFonts w:ascii="Arial" w:hAnsi="Arial" w:cs="Arial"/>
          <w:sz w:val="21"/>
        </w:rPr>
        <w:t xml:space="preserve"> spürbar zurückgegangen. </w:t>
      </w:r>
      <w:r w:rsidR="005542B2">
        <w:rPr>
          <w:rFonts w:ascii="Arial" w:hAnsi="Arial" w:cs="Arial"/>
          <w:sz w:val="21"/>
        </w:rPr>
        <w:t xml:space="preserve">Mitverantwortlich dafür dürfte der Wechselkurs der türkischen Lira sein, welcher seit Anfang September </w:t>
      </w:r>
      <w:r w:rsidR="00C26EA9">
        <w:rPr>
          <w:rFonts w:ascii="Arial" w:hAnsi="Arial" w:cs="Arial"/>
          <w:sz w:val="21"/>
        </w:rPr>
        <w:t>rund</w:t>
      </w:r>
      <w:r w:rsidR="005542B2">
        <w:rPr>
          <w:rFonts w:ascii="Arial" w:hAnsi="Arial" w:cs="Arial"/>
          <w:sz w:val="21"/>
        </w:rPr>
        <w:t xml:space="preserve"> 1</w:t>
      </w:r>
      <w:r w:rsidR="00C26EA9">
        <w:rPr>
          <w:rFonts w:ascii="Arial" w:hAnsi="Arial" w:cs="Arial"/>
          <w:sz w:val="21"/>
        </w:rPr>
        <w:t>5</w:t>
      </w:r>
      <w:r w:rsidR="005542B2">
        <w:rPr>
          <w:rFonts w:ascii="Arial" w:hAnsi="Arial" w:cs="Arial"/>
          <w:sz w:val="21"/>
        </w:rPr>
        <w:t xml:space="preserve"> % an Wert verloren hat. </w:t>
      </w:r>
      <w:r w:rsidR="004913CA">
        <w:rPr>
          <w:rFonts w:ascii="Arial" w:hAnsi="Arial" w:cs="Arial"/>
          <w:sz w:val="21"/>
        </w:rPr>
        <w:t xml:space="preserve">Den Höchstpreis von € </w:t>
      </w:r>
      <w:r w:rsidR="003A6BAE">
        <w:rPr>
          <w:rFonts w:ascii="Arial" w:hAnsi="Arial" w:cs="Arial"/>
          <w:sz w:val="21"/>
        </w:rPr>
        <w:t>2.</w:t>
      </w:r>
      <w:r w:rsidR="00C26EA9">
        <w:rPr>
          <w:rFonts w:ascii="Arial" w:hAnsi="Arial" w:cs="Arial"/>
          <w:sz w:val="21"/>
        </w:rPr>
        <w:t>200</w:t>
      </w:r>
      <w:r w:rsidR="004913CA">
        <w:rPr>
          <w:rFonts w:ascii="Arial" w:hAnsi="Arial" w:cs="Arial"/>
          <w:sz w:val="21"/>
        </w:rPr>
        <w:t xml:space="preserve">,- </w:t>
      </w:r>
      <w:r w:rsidR="009E7A5B">
        <w:rPr>
          <w:rFonts w:ascii="Arial" w:hAnsi="Arial" w:cs="Arial"/>
          <w:sz w:val="21"/>
        </w:rPr>
        <w:t xml:space="preserve">erzielte der </w:t>
      </w:r>
      <w:r w:rsidR="0054543F">
        <w:rPr>
          <w:rFonts w:ascii="Arial" w:hAnsi="Arial" w:cs="Arial"/>
          <w:sz w:val="21"/>
        </w:rPr>
        <w:t xml:space="preserve">Zuchtbetrieb </w:t>
      </w:r>
      <w:r w:rsidR="00C26EA9">
        <w:rPr>
          <w:rFonts w:ascii="Arial" w:hAnsi="Arial" w:cs="Arial"/>
          <w:sz w:val="21"/>
        </w:rPr>
        <w:t>Gstöttinger aus Gmunden</w:t>
      </w:r>
      <w:r w:rsidR="009E7A5B">
        <w:rPr>
          <w:rFonts w:ascii="Arial" w:hAnsi="Arial" w:cs="Arial"/>
          <w:sz w:val="21"/>
        </w:rPr>
        <w:t xml:space="preserve"> </w:t>
      </w:r>
      <w:r w:rsidR="00956092">
        <w:rPr>
          <w:rFonts w:ascii="Arial" w:hAnsi="Arial" w:cs="Arial"/>
          <w:sz w:val="21"/>
        </w:rPr>
        <w:t xml:space="preserve">eine hervorragend entwickelte </w:t>
      </w:r>
      <w:r w:rsidR="00C26EA9">
        <w:rPr>
          <w:rFonts w:ascii="Arial" w:hAnsi="Arial" w:cs="Arial"/>
          <w:sz w:val="21"/>
        </w:rPr>
        <w:t>Wallenstein-Tochter mit</w:t>
      </w:r>
      <w:r w:rsidR="005C2C4A">
        <w:rPr>
          <w:rFonts w:ascii="Arial" w:hAnsi="Arial" w:cs="Arial"/>
          <w:sz w:val="21"/>
        </w:rPr>
        <w:t>.</w:t>
      </w:r>
    </w:p>
    <w:p w:rsidR="009E7A5B" w:rsidRDefault="009E7A5B">
      <w:pPr>
        <w:tabs>
          <w:tab w:val="left" w:pos="2127"/>
          <w:tab w:val="left" w:pos="3119"/>
          <w:tab w:val="left" w:pos="4253"/>
          <w:tab w:val="left" w:pos="5670"/>
          <w:tab w:val="left" w:pos="6946"/>
          <w:tab w:val="left" w:pos="7938"/>
        </w:tabs>
        <w:jc w:val="both"/>
        <w:rPr>
          <w:rFonts w:ascii="Arial" w:hAnsi="Arial" w:cs="Arial"/>
          <w:sz w:val="21"/>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24"/>
        <w:gridCol w:w="1284"/>
        <w:gridCol w:w="1997"/>
        <w:gridCol w:w="2567"/>
      </w:tblGrid>
      <w:tr w:rsidR="00387DCD" w:rsidTr="00A424B1">
        <w:trPr>
          <w:trHeight w:val="241"/>
        </w:trPr>
        <w:tc>
          <w:tcPr>
            <w:tcW w:w="3424" w:type="dxa"/>
          </w:tcPr>
          <w:p w:rsidR="00387DCD" w:rsidRDefault="00387DCD">
            <w:pPr>
              <w:rPr>
                <w:rFonts w:ascii="Arial" w:hAnsi="Arial" w:cs="Arial"/>
                <w:b/>
                <w:sz w:val="22"/>
              </w:rPr>
            </w:pPr>
            <w:r>
              <w:rPr>
                <w:rFonts w:ascii="Arial" w:hAnsi="Arial" w:cs="Arial"/>
                <w:b/>
                <w:sz w:val="22"/>
              </w:rPr>
              <w:t>Zuchtrinder</w:t>
            </w:r>
          </w:p>
        </w:tc>
        <w:tc>
          <w:tcPr>
            <w:tcW w:w="1284" w:type="dxa"/>
          </w:tcPr>
          <w:p w:rsidR="00387DCD" w:rsidRDefault="00387DCD">
            <w:pPr>
              <w:tabs>
                <w:tab w:val="decimal" w:pos="781"/>
              </w:tabs>
              <w:jc w:val="center"/>
              <w:rPr>
                <w:rFonts w:ascii="Arial" w:hAnsi="Arial" w:cs="Arial"/>
                <w:b/>
                <w:sz w:val="22"/>
              </w:rPr>
            </w:pPr>
            <w:r>
              <w:rPr>
                <w:rFonts w:ascii="Arial" w:hAnsi="Arial" w:cs="Arial"/>
                <w:b/>
                <w:sz w:val="22"/>
              </w:rPr>
              <w:t>Verkauf</w:t>
            </w:r>
          </w:p>
        </w:tc>
        <w:tc>
          <w:tcPr>
            <w:tcW w:w="1997" w:type="dxa"/>
          </w:tcPr>
          <w:p w:rsidR="00387DCD" w:rsidRDefault="00387DCD">
            <w:pPr>
              <w:tabs>
                <w:tab w:val="decimal" w:pos="1017"/>
              </w:tabs>
              <w:jc w:val="center"/>
              <w:rPr>
                <w:rFonts w:ascii="Arial" w:hAnsi="Arial" w:cs="Arial"/>
                <w:b/>
                <w:sz w:val="22"/>
              </w:rPr>
            </w:pPr>
            <w:r>
              <w:rPr>
                <w:rFonts w:ascii="Arial" w:hAnsi="Arial" w:cs="Arial"/>
                <w:b/>
                <w:sz w:val="22"/>
              </w:rPr>
              <w:t>Ø-Preis netto</w:t>
            </w:r>
          </w:p>
        </w:tc>
        <w:tc>
          <w:tcPr>
            <w:tcW w:w="2567" w:type="dxa"/>
          </w:tcPr>
          <w:p w:rsidR="00387DCD" w:rsidRDefault="00387DCD">
            <w:pPr>
              <w:tabs>
                <w:tab w:val="decimal" w:pos="1489"/>
              </w:tabs>
              <w:jc w:val="center"/>
              <w:rPr>
                <w:rFonts w:ascii="Arial" w:hAnsi="Arial" w:cs="Arial"/>
                <w:b/>
                <w:sz w:val="22"/>
              </w:rPr>
            </w:pPr>
            <w:r>
              <w:rPr>
                <w:rFonts w:ascii="Arial" w:hAnsi="Arial" w:cs="Arial"/>
                <w:b/>
                <w:sz w:val="22"/>
              </w:rPr>
              <w:t>Preise von - bis €</w:t>
            </w:r>
          </w:p>
        </w:tc>
      </w:tr>
      <w:tr w:rsidR="00387DCD" w:rsidTr="00A424B1">
        <w:trPr>
          <w:trHeight w:val="267"/>
        </w:trPr>
        <w:tc>
          <w:tcPr>
            <w:tcW w:w="3424" w:type="dxa"/>
          </w:tcPr>
          <w:p w:rsidR="00387DCD" w:rsidRDefault="00104B60">
            <w:pPr>
              <w:rPr>
                <w:rFonts w:ascii="Arial" w:hAnsi="Arial" w:cs="Arial"/>
                <w:b/>
                <w:sz w:val="22"/>
              </w:rPr>
            </w:pPr>
            <w:r>
              <w:rPr>
                <w:rFonts w:ascii="Arial" w:hAnsi="Arial" w:cs="Arial"/>
                <w:b/>
                <w:sz w:val="22"/>
              </w:rPr>
              <w:t>Jungkühe IIa</w:t>
            </w:r>
            <w:r w:rsidR="00387DCD">
              <w:rPr>
                <w:rFonts w:ascii="Arial" w:hAnsi="Arial" w:cs="Arial"/>
                <w:b/>
                <w:sz w:val="22"/>
              </w:rPr>
              <w:t xml:space="preserve"> </w:t>
            </w:r>
          </w:p>
        </w:tc>
        <w:tc>
          <w:tcPr>
            <w:tcW w:w="1284" w:type="dxa"/>
          </w:tcPr>
          <w:p w:rsidR="00387DCD" w:rsidRDefault="00F87A5C" w:rsidP="0060365D">
            <w:pPr>
              <w:tabs>
                <w:tab w:val="decimal" w:pos="780"/>
              </w:tabs>
              <w:rPr>
                <w:rFonts w:ascii="Arial" w:hAnsi="Arial" w:cs="Arial"/>
                <w:b/>
                <w:sz w:val="22"/>
              </w:rPr>
            </w:pPr>
            <w:r>
              <w:rPr>
                <w:rFonts w:ascii="Arial" w:hAnsi="Arial" w:cs="Arial"/>
                <w:b/>
                <w:sz w:val="22"/>
              </w:rPr>
              <w:t>20</w:t>
            </w:r>
          </w:p>
        </w:tc>
        <w:tc>
          <w:tcPr>
            <w:tcW w:w="1997" w:type="dxa"/>
          </w:tcPr>
          <w:p w:rsidR="00387DCD" w:rsidRDefault="00F87A5C" w:rsidP="002605E4">
            <w:pPr>
              <w:tabs>
                <w:tab w:val="decimal" w:pos="1064"/>
              </w:tabs>
              <w:rPr>
                <w:rFonts w:ascii="Arial" w:hAnsi="Arial" w:cs="Arial"/>
                <w:b/>
                <w:sz w:val="22"/>
              </w:rPr>
            </w:pPr>
            <w:r>
              <w:rPr>
                <w:rFonts w:ascii="Arial" w:hAnsi="Arial" w:cs="Arial"/>
                <w:b/>
                <w:sz w:val="22"/>
              </w:rPr>
              <w:t>2.023,00</w:t>
            </w:r>
          </w:p>
        </w:tc>
        <w:tc>
          <w:tcPr>
            <w:tcW w:w="2567" w:type="dxa"/>
          </w:tcPr>
          <w:p w:rsidR="00387DCD" w:rsidRDefault="00F87A5C" w:rsidP="002605E4">
            <w:pPr>
              <w:tabs>
                <w:tab w:val="decimal" w:pos="1064"/>
              </w:tabs>
              <w:rPr>
                <w:rFonts w:ascii="Arial" w:hAnsi="Arial" w:cs="Arial"/>
                <w:b/>
                <w:sz w:val="22"/>
              </w:rPr>
            </w:pPr>
            <w:r>
              <w:rPr>
                <w:rFonts w:ascii="Arial" w:hAnsi="Arial" w:cs="Arial"/>
                <w:b/>
                <w:sz w:val="22"/>
              </w:rPr>
              <w:t>1.520,00 – 2.580,00</w:t>
            </w:r>
          </w:p>
        </w:tc>
      </w:tr>
      <w:tr w:rsidR="00387DCD" w:rsidTr="00A424B1">
        <w:trPr>
          <w:trHeight w:val="404"/>
        </w:trPr>
        <w:tc>
          <w:tcPr>
            <w:tcW w:w="3424" w:type="dxa"/>
          </w:tcPr>
          <w:p w:rsidR="00387DCD" w:rsidRDefault="00D673FE">
            <w:pPr>
              <w:rPr>
                <w:rFonts w:ascii="Arial" w:hAnsi="Arial" w:cs="Arial"/>
                <w:b/>
                <w:sz w:val="22"/>
              </w:rPr>
            </w:pPr>
            <w:r>
              <w:rPr>
                <w:rFonts w:ascii="Arial" w:hAnsi="Arial" w:cs="Arial"/>
                <w:b/>
                <w:sz w:val="22"/>
              </w:rPr>
              <w:t>Jungkühe II</w:t>
            </w:r>
            <w:r w:rsidR="00104B60">
              <w:rPr>
                <w:rFonts w:ascii="Arial" w:hAnsi="Arial" w:cs="Arial"/>
                <w:b/>
                <w:sz w:val="22"/>
              </w:rPr>
              <w:t>b</w:t>
            </w:r>
          </w:p>
        </w:tc>
        <w:tc>
          <w:tcPr>
            <w:tcW w:w="1284" w:type="dxa"/>
          </w:tcPr>
          <w:p w:rsidR="00387DCD" w:rsidRDefault="00F87A5C" w:rsidP="00C04E8F">
            <w:pPr>
              <w:tabs>
                <w:tab w:val="decimal" w:pos="780"/>
              </w:tabs>
              <w:rPr>
                <w:rFonts w:ascii="Arial" w:hAnsi="Arial" w:cs="Arial"/>
                <w:b/>
                <w:sz w:val="22"/>
              </w:rPr>
            </w:pPr>
            <w:r>
              <w:rPr>
                <w:rFonts w:ascii="Arial" w:hAnsi="Arial" w:cs="Arial"/>
                <w:b/>
                <w:sz w:val="22"/>
              </w:rPr>
              <w:t xml:space="preserve"> </w:t>
            </w:r>
          </w:p>
        </w:tc>
        <w:tc>
          <w:tcPr>
            <w:tcW w:w="1997" w:type="dxa"/>
          </w:tcPr>
          <w:p w:rsidR="00387DCD" w:rsidRDefault="00F87A5C" w:rsidP="00295E84">
            <w:pPr>
              <w:tabs>
                <w:tab w:val="decimal" w:pos="1064"/>
              </w:tabs>
              <w:rPr>
                <w:rFonts w:ascii="Arial" w:hAnsi="Arial" w:cs="Arial"/>
                <w:b/>
                <w:sz w:val="22"/>
              </w:rPr>
            </w:pPr>
            <w:r>
              <w:rPr>
                <w:rFonts w:ascii="Arial" w:hAnsi="Arial" w:cs="Arial"/>
                <w:b/>
                <w:sz w:val="22"/>
              </w:rPr>
              <w:t xml:space="preserve"> </w:t>
            </w:r>
          </w:p>
        </w:tc>
        <w:tc>
          <w:tcPr>
            <w:tcW w:w="2567" w:type="dxa"/>
          </w:tcPr>
          <w:p w:rsidR="00387DCD" w:rsidRDefault="00F87A5C" w:rsidP="001A6D23">
            <w:pPr>
              <w:tabs>
                <w:tab w:val="decimal" w:pos="1064"/>
              </w:tabs>
              <w:rPr>
                <w:rFonts w:ascii="Arial" w:hAnsi="Arial" w:cs="Arial"/>
                <w:b/>
                <w:sz w:val="22"/>
              </w:rPr>
            </w:pPr>
            <w:r>
              <w:rPr>
                <w:rFonts w:ascii="Arial" w:hAnsi="Arial" w:cs="Arial"/>
                <w:b/>
                <w:sz w:val="22"/>
              </w:rPr>
              <w:t xml:space="preserve"> </w:t>
            </w:r>
          </w:p>
        </w:tc>
      </w:tr>
      <w:tr w:rsidR="00387DCD" w:rsidTr="00A424B1">
        <w:trPr>
          <w:trHeight w:val="241"/>
        </w:trPr>
        <w:tc>
          <w:tcPr>
            <w:tcW w:w="3424" w:type="dxa"/>
          </w:tcPr>
          <w:p w:rsidR="00387DCD" w:rsidRDefault="00104B60">
            <w:pPr>
              <w:rPr>
                <w:rFonts w:ascii="Arial" w:hAnsi="Arial" w:cs="Arial"/>
                <w:b/>
                <w:sz w:val="22"/>
              </w:rPr>
            </w:pPr>
            <w:r>
              <w:rPr>
                <w:rFonts w:ascii="Arial" w:hAnsi="Arial" w:cs="Arial"/>
                <w:b/>
                <w:sz w:val="22"/>
              </w:rPr>
              <w:t xml:space="preserve"> </w:t>
            </w:r>
          </w:p>
        </w:tc>
        <w:tc>
          <w:tcPr>
            <w:tcW w:w="1284" w:type="dxa"/>
          </w:tcPr>
          <w:p w:rsidR="00387DCD" w:rsidRDefault="00104B60">
            <w:pPr>
              <w:tabs>
                <w:tab w:val="decimal" w:pos="780"/>
              </w:tabs>
              <w:rPr>
                <w:rFonts w:ascii="Arial" w:hAnsi="Arial" w:cs="Arial"/>
                <w:b/>
                <w:sz w:val="22"/>
              </w:rPr>
            </w:pPr>
            <w:r>
              <w:rPr>
                <w:rFonts w:ascii="Arial" w:hAnsi="Arial" w:cs="Arial"/>
                <w:b/>
                <w:sz w:val="22"/>
              </w:rPr>
              <w:t xml:space="preserve"> </w:t>
            </w:r>
          </w:p>
        </w:tc>
        <w:tc>
          <w:tcPr>
            <w:tcW w:w="1997" w:type="dxa"/>
          </w:tcPr>
          <w:p w:rsidR="00387DCD" w:rsidRDefault="00104B60" w:rsidP="00A07AA2">
            <w:pPr>
              <w:tabs>
                <w:tab w:val="decimal" w:pos="1064"/>
              </w:tabs>
              <w:rPr>
                <w:rFonts w:ascii="Arial" w:hAnsi="Arial" w:cs="Arial"/>
                <w:b/>
                <w:sz w:val="22"/>
              </w:rPr>
            </w:pPr>
            <w:r>
              <w:rPr>
                <w:rFonts w:ascii="Arial" w:hAnsi="Arial" w:cs="Arial"/>
                <w:b/>
                <w:sz w:val="22"/>
              </w:rPr>
              <w:t xml:space="preserve"> </w:t>
            </w:r>
          </w:p>
        </w:tc>
        <w:tc>
          <w:tcPr>
            <w:tcW w:w="2567" w:type="dxa"/>
          </w:tcPr>
          <w:p w:rsidR="00387DCD" w:rsidRDefault="00104B60" w:rsidP="00A07AA2">
            <w:pPr>
              <w:tabs>
                <w:tab w:val="decimal" w:pos="1064"/>
              </w:tabs>
              <w:rPr>
                <w:rFonts w:ascii="Arial" w:hAnsi="Arial" w:cs="Arial"/>
                <w:b/>
                <w:sz w:val="22"/>
              </w:rPr>
            </w:pPr>
            <w:r>
              <w:rPr>
                <w:rFonts w:ascii="Arial" w:hAnsi="Arial" w:cs="Arial"/>
                <w:b/>
                <w:sz w:val="22"/>
              </w:rPr>
              <w:t xml:space="preserve"> </w:t>
            </w:r>
          </w:p>
        </w:tc>
      </w:tr>
      <w:tr w:rsidR="00387DCD" w:rsidTr="00A424B1">
        <w:trPr>
          <w:trHeight w:val="241"/>
        </w:trPr>
        <w:tc>
          <w:tcPr>
            <w:tcW w:w="3424" w:type="dxa"/>
          </w:tcPr>
          <w:p w:rsidR="00387DCD" w:rsidRPr="00D673FE" w:rsidRDefault="00D673FE">
            <w:pPr>
              <w:rPr>
                <w:rFonts w:ascii="Arial" w:hAnsi="Arial" w:cs="Arial"/>
                <w:b/>
                <w:sz w:val="22"/>
              </w:rPr>
            </w:pPr>
            <w:r>
              <w:rPr>
                <w:rFonts w:ascii="Arial" w:hAnsi="Arial" w:cs="Arial"/>
                <w:b/>
                <w:sz w:val="22"/>
              </w:rPr>
              <w:t>Kalbinnen IIa</w:t>
            </w:r>
          </w:p>
        </w:tc>
        <w:tc>
          <w:tcPr>
            <w:tcW w:w="1284" w:type="dxa"/>
          </w:tcPr>
          <w:p w:rsidR="00387DCD" w:rsidRDefault="00F87A5C" w:rsidP="00336B0C">
            <w:pPr>
              <w:tabs>
                <w:tab w:val="decimal" w:pos="780"/>
              </w:tabs>
              <w:rPr>
                <w:rFonts w:ascii="Arial" w:hAnsi="Arial" w:cs="Arial"/>
                <w:b/>
                <w:sz w:val="22"/>
              </w:rPr>
            </w:pPr>
            <w:r>
              <w:rPr>
                <w:rFonts w:ascii="Arial" w:hAnsi="Arial" w:cs="Arial"/>
                <w:b/>
                <w:sz w:val="22"/>
              </w:rPr>
              <w:t>43</w:t>
            </w:r>
          </w:p>
        </w:tc>
        <w:tc>
          <w:tcPr>
            <w:tcW w:w="1997" w:type="dxa"/>
          </w:tcPr>
          <w:p w:rsidR="00387DCD" w:rsidRDefault="00F87A5C" w:rsidP="002605E4">
            <w:pPr>
              <w:tabs>
                <w:tab w:val="decimal" w:pos="1064"/>
              </w:tabs>
              <w:rPr>
                <w:rFonts w:ascii="Arial" w:hAnsi="Arial" w:cs="Arial"/>
                <w:b/>
                <w:sz w:val="22"/>
              </w:rPr>
            </w:pPr>
            <w:r>
              <w:rPr>
                <w:rFonts w:ascii="Arial" w:hAnsi="Arial" w:cs="Arial"/>
                <w:b/>
                <w:sz w:val="22"/>
              </w:rPr>
              <w:t>1.842,33</w:t>
            </w:r>
          </w:p>
        </w:tc>
        <w:tc>
          <w:tcPr>
            <w:tcW w:w="2567" w:type="dxa"/>
          </w:tcPr>
          <w:p w:rsidR="00387DCD" w:rsidRDefault="00F87A5C" w:rsidP="002605E4">
            <w:pPr>
              <w:tabs>
                <w:tab w:val="decimal" w:pos="1064"/>
              </w:tabs>
              <w:rPr>
                <w:rFonts w:ascii="Arial" w:hAnsi="Arial" w:cs="Arial"/>
                <w:b/>
                <w:sz w:val="22"/>
              </w:rPr>
            </w:pPr>
            <w:r>
              <w:rPr>
                <w:rFonts w:ascii="Arial" w:hAnsi="Arial" w:cs="Arial"/>
                <w:b/>
                <w:sz w:val="22"/>
              </w:rPr>
              <w:t>1.500,00 – 2.200,00</w:t>
            </w:r>
          </w:p>
        </w:tc>
      </w:tr>
      <w:tr w:rsidR="00387DCD" w:rsidRPr="00F23918" w:rsidTr="00A424B1">
        <w:trPr>
          <w:trHeight w:val="241"/>
        </w:trPr>
        <w:tc>
          <w:tcPr>
            <w:tcW w:w="3424" w:type="dxa"/>
          </w:tcPr>
          <w:p w:rsidR="00387DCD" w:rsidRPr="00F23918" w:rsidRDefault="00D673FE">
            <w:pPr>
              <w:rPr>
                <w:rFonts w:ascii="Arial" w:hAnsi="Arial" w:cs="Arial"/>
                <w:b/>
                <w:sz w:val="22"/>
                <w:szCs w:val="22"/>
              </w:rPr>
            </w:pPr>
            <w:r w:rsidRPr="00F23918">
              <w:rPr>
                <w:rFonts w:ascii="Arial" w:hAnsi="Arial" w:cs="Arial"/>
                <w:b/>
                <w:sz w:val="22"/>
                <w:szCs w:val="22"/>
              </w:rPr>
              <w:t>Kalbinnen IIb</w:t>
            </w:r>
          </w:p>
        </w:tc>
        <w:tc>
          <w:tcPr>
            <w:tcW w:w="1284" w:type="dxa"/>
          </w:tcPr>
          <w:p w:rsidR="00387DCD" w:rsidRPr="00F23918" w:rsidRDefault="00387DCD">
            <w:pPr>
              <w:tabs>
                <w:tab w:val="decimal" w:pos="780"/>
              </w:tabs>
              <w:rPr>
                <w:rFonts w:ascii="Arial" w:hAnsi="Arial" w:cs="Arial"/>
                <w:b/>
                <w:sz w:val="22"/>
                <w:szCs w:val="22"/>
              </w:rPr>
            </w:pPr>
          </w:p>
        </w:tc>
        <w:tc>
          <w:tcPr>
            <w:tcW w:w="1997" w:type="dxa"/>
          </w:tcPr>
          <w:p w:rsidR="00387DCD" w:rsidRPr="00F23918" w:rsidRDefault="00387DCD" w:rsidP="001A6D23">
            <w:pPr>
              <w:tabs>
                <w:tab w:val="decimal" w:pos="1064"/>
              </w:tabs>
              <w:rPr>
                <w:rFonts w:ascii="Arial" w:hAnsi="Arial" w:cs="Arial"/>
                <w:b/>
                <w:sz w:val="22"/>
                <w:szCs w:val="22"/>
              </w:rPr>
            </w:pPr>
          </w:p>
        </w:tc>
        <w:tc>
          <w:tcPr>
            <w:tcW w:w="2567" w:type="dxa"/>
          </w:tcPr>
          <w:p w:rsidR="00387DCD" w:rsidRPr="00F23918" w:rsidRDefault="00320D3F" w:rsidP="001A6D23">
            <w:pPr>
              <w:tabs>
                <w:tab w:val="decimal" w:pos="1064"/>
              </w:tabs>
              <w:rPr>
                <w:rFonts w:ascii="Arial" w:hAnsi="Arial" w:cs="Arial"/>
                <w:b/>
                <w:sz w:val="22"/>
                <w:szCs w:val="22"/>
              </w:rPr>
            </w:pPr>
            <w:r>
              <w:rPr>
                <w:rFonts w:ascii="Arial" w:hAnsi="Arial" w:cs="Arial"/>
                <w:b/>
                <w:sz w:val="22"/>
                <w:szCs w:val="22"/>
              </w:rPr>
              <w:t xml:space="preserve"> </w:t>
            </w:r>
          </w:p>
        </w:tc>
      </w:tr>
      <w:tr w:rsidR="009E7A5B" w:rsidTr="00262891">
        <w:trPr>
          <w:trHeight w:val="80"/>
        </w:trPr>
        <w:tc>
          <w:tcPr>
            <w:tcW w:w="3424" w:type="dxa"/>
          </w:tcPr>
          <w:p w:rsidR="009E7A5B" w:rsidRDefault="009E7A5B">
            <w:pPr>
              <w:rPr>
                <w:b/>
              </w:rPr>
            </w:pPr>
          </w:p>
        </w:tc>
        <w:tc>
          <w:tcPr>
            <w:tcW w:w="1284" w:type="dxa"/>
          </w:tcPr>
          <w:p w:rsidR="009E7A5B" w:rsidRDefault="009E7A5B">
            <w:pPr>
              <w:tabs>
                <w:tab w:val="decimal" w:pos="780"/>
              </w:tabs>
              <w:rPr>
                <w:rFonts w:ascii="Arial" w:hAnsi="Arial" w:cs="Arial"/>
                <w:b/>
                <w:sz w:val="22"/>
              </w:rPr>
            </w:pPr>
          </w:p>
        </w:tc>
        <w:tc>
          <w:tcPr>
            <w:tcW w:w="1997" w:type="dxa"/>
          </w:tcPr>
          <w:p w:rsidR="009E7A5B" w:rsidRDefault="009E7A5B">
            <w:pPr>
              <w:tabs>
                <w:tab w:val="decimal" w:pos="1064"/>
              </w:tabs>
              <w:rPr>
                <w:b/>
              </w:rPr>
            </w:pPr>
          </w:p>
        </w:tc>
        <w:tc>
          <w:tcPr>
            <w:tcW w:w="2567" w:type="dxa"/>
          </w:tcPr>
          <w:p w:rsidR="009E7A5B" w:rsidRDefault="009E7A5B">
            <w:pPr>
              <w:tabs>
                <w:tab w:val="decimal" w:pos="1064"/>
              </w:tabs>
              <w:rPr>
                <w:b/>
              </w:rPr>
            </w:pPr>
          </w:p>
        </w:tc>
      </w:tr>
    </w:tbl>
    <w:p w:rsidR="00387DCD" w:rsidRDefault="00B14053">
      <w:pPr>
        <w:tabs>
          <w:tab w:val="left" w:pos="2127"/>
          <w:tab w:val="left" w:pos="3119"/>
          <w:tab w:val="left" w:pos="4253"/>
          <w:tab w:val="left" w:pos="5670"/>
          <w:tab w:val="left" w:pos="6946"/>
          <w:tab w:val="left" w:pos="7938"/>
        </w:tabs>
        <w:spacing w:before="120"/>
        <w:jc w:val="both"/>
        <w:rPr>
          <w:rFonts w:ascii="Arial" w:hAnsi="Arial" w:cs="Arial"/>
          <w:bCs/>
          <w:sz w:val="21"/>
        </w:rPr>
      </w:pPr>
      <w:r>
        <w:rPr>
          <w:rFonts w:ascii="Arial" w:hAnsi="Arial" w:cs="Arial"/>
          <w:bCs/>
          <w:sz w:val="21"/>
        </w:rPr>
        <w:t>3</w:t>
      </w:r>
      <w:r w:rsidR="00C26EA9">
        <w:rPr>
          <w:rFonts w:ascii="Arial" w:hAnsi="Arial" w:cs="Arial"/>
          <w:bCs/>
          <w:sz w:val="21"/>
        </w:rPr>
        <w:t>24</w:t>
      </w:r>
      <w:r w:rsidR="004641ED">
        <w:rPr>
          <w:rFonts w:ascii="Arial" w:hAnsi="Arial" w:cs="Arial"/>
          <w:bCs/>
          <w:sz w:val="21"/>
        </w:rPr>
        <w:t xml:space="preserve"> </w:t>
      </w:r>
      <w:r w:rsidR="00387DCD">
        <w:rPr>
          <w:rFonts w:ascii="Arial" w:hAnsi="Arial" w:cs="Arial"/>
          <w:b/>
          <w:sz w:val="21"/>
        </w:rPr>
        <w:t>Stierkälber</w:t>
      </w:r>
      <w:r w:rsidR="00E16342">
        <w:rPr>
          <w:rFonts w:ascii="Arial" w:hAnsi="Arial" w:cs="Arial"/>
          <w:b/>
          <w:sz w:val="21"/>
        </w:rPr>
        <w:t xml:space="preserve"> </w:t>
      </w:r>
      <w:r w:rsidR="00CD6E73">
        <w:rPr>
          <w:rFonts w:ascii="Arial" w:hAnsi="Arial" w:cs="Arial"/>
          <w:sz w:val="21"/>
        </w:rPr>
        <w:t>ver</w:t>
      </w:r>
      <w:r>
        <w:rPr>
          <w:rFonts w:ascii="Arial" w:hAnsi="Arial" w:cs="Arial"/>
          <w:sz w:val="21"/>
        </w:rPr>
        <w:t>besserten</w:t>
      </w:r>
      <w:r w:rsidR="00A246F2">
        <w:rPr>
          <w:rFonts w:ascii="Arial" w:hAnsi="Arial" w:cs="Arial"/>
          <w:sz w:val="21"/>
        </w:rPr>
        <w:t xml:space="preserve"> </w:t>
      </w:r>
      <w:r w:rsidR="00E16342" w:rsidRPr="00E16342">
        <w:rPr>
          <w:rFonts w:ascii="Arial" w:hAnsi="Arial" w:cs="Arial"/>
          <w:sz w:val="21"/>
        </w:rPr>
        <w:t xml:space="preserve">sich um </w:t>
      </w:r>
      <w:r w:rsidR="00C26EA9">
        <w:rPr>
          <w:rFonts w:ascii="Arial" w:hAnsi="Arial" w:cs="Arial"/>
          <w:sz w:val="21"/>
        </w:rPr>
        <w:t>36</w:t>
      </w:r>
      <w:r w:rsidR="002D25C6">
        <w:rPr>
          <w:rFonts w:ascii="Arial" w:hAnsi="Arial" w:cs="Arial"/>
          <w:sz w:val="21"/>
        </w:rPr>
        <w:t xml:space="preserve"> </w:t>
      </w:r>
      <w:r w:rsidR="00387DCD">
        <w:rPr>
          <w:rFonts w:ascii="Arial" w:hAnsi="Arial" w:cs="Arial"/>
          <w:bCs/>
          <w:sz w:val="21"/>
        </w:rPr>
        <w:t xml:space="preserve">Cent auf € </w:t>
      </w:r>
      <w:r w:rsidR="003D7B37">
        <w:rPr>
          <w:rFonts w:ascii="Arial" w:hAnsi="Arial" w:cs="Arial"/>
          <w:bCs/>
          <w:sz w:val="21"/>
        </w:rPr>
        <w:t>4,</w:t>
      </w:r>
      <w:r w:rsidR="00C26EA9">
        <w:rPr>
          <w:rFonts w:ascii="Arial" w:hAnsi="Arial" w:cs="Arial"/>
          <w:bCs/>
          <w:sz w:val="21"/>
        </w:rPr>
        <w:t>48</w:t>
      </w:r>
      <w:r w:rsidR="00BF4B9E">
        <w:rPr>
          <w:rFonts w:ascii="Arial" w:hAnsi="Arial" w:cs="Arial"/>
          <w:bCs/>
          <w:sz w:val="21"/>
        </w:rPr>
        <w:t xml:space="preserve"> netto</w:t>
      </w:r>
      <w:r w:rsidR="00021DF2">
        <w:rPr>
          <w:rFonts w:ascii="Arial" w:hAnsi="Arial" w:cs="Arial"/>
          <w:bCs/>
          <w:sz w:val="21"/>
        </w:rPr>
        <w:t xml:space="preserve"> bei einem</w:t>
      </w:r>
      <w:r w:rsidR="00DE6917">
        <w:rPr>
          <w:rFonts w:ascii="Arial" w:hAnsi="Arial" w:cs="Arial"/>
          <w:bCs/>
          <w:sz w:val="21"/>
        </w:rPr>
        <w:t xml:space="preserve"> </w:t>
      </w:r>
      <w:r w:rsidR="00021DF2">
        <w:rPr>
          <w:rFonts w:ascii="Arial" w:hAnsi="Arial" w:cs="Arial"/>
          <w:bCs/>
          <w:sz w:val="21"/>
        </w:rPr>
        <w:t xml:space="preserve">Durchschnittsgewicht von </w:t>
      </w:r>
      <w:r w:rsidR="003D7B37">
        <w:rPr>
          <w:rFonts w:ascii="Arial" w:hAnsi="Arial" w:cs="Arial"/>
          <w:bCs/>
          <w:sz w:val="21"/>
        </w:rPr>
        <w:t>9</w:t>
      </w:r>
      <w:r w:rsidR="00C26EA9">
        <w:rPr>
          <w:rFonts w:ascii="Arial" w:hAnsi="Arial" w:cs="Arial"/>
          <w:bCs/>
          <w:sz w:val="21"/>
        </w:rPr>
        <w:t>4</w:t>
      </w:r>
      <w:r w:rsidR="00021DF2">
        <w:rPr>
          <w:rFonts w:ascii="Arial" w:hAnsi="Arial" w:cs="Arial"/>
          <w:bCs/>
          <w:sz w:val="21"/>
        </w:rPr>
        <w:t xml:space="preserve"> kg</w:t>
      </w:r>
      <w:r w:rsidR="001A6707">
        <w:rPr>
          <w:rFonts w:ascii="Arial" w:hAnsi="Arial" w:cs="Arial"/>
          <w:bCs/>
          <w:sz w:val="21"/>
        </w:rPr>
        <w:t>, wobei</w:t>
      </w:r>
      <w:r w:rsidR="00387DCD">
        <w:rPr>
          <w:rFonts w:ascii="Arial" w:hAnsi="Arial" w:cs="Arial"/>
          <w:bCs/>
          <w:sz w:val="21"/>
        </w:rPr>
        <w:t xml:space="preserve"> Fleischrassekälber je kg im Schnitt € </w:t>
      </w:r>
      <w:r w:rsidR="003A6BAE">
        <w:rPr>
          <w:rFonts w:ascii="Arial" w:hAnsi="Arial" w:cs="Arial"/>
          <w:bCs/>
          <w:sz w:val="21"/>
        </w:rPr>
        <w:t>5</w:t>
      </w:r>
      <w:r w:rsidR="003D7B37">
        <w:rPr>
          <w:rFonts w:ascii="Arial" w:hAnsi="Arial" w:cs="Arial"/>
          <w:bCs/>
          <w:sz w:val="21"/>
        </w:rPr>
        <w:t>,</w:t>
      </w:r>
      <w:r w:rsidR="00C26EA9">
        <w:rPr>
          <w:rFonts w:ascii="Arial" w:hAnsi="Arial" w:cs="Arial"/>
          <w:bCs/>
          <w:sz w:val="21"/>
        </w:rPr>
        <w:t>43</w:t>
      </w:r>
      <w:r w:rsidR="003F36FF">
        <w:rPr>
          <w:rFonts w:ascii="Arial" w:hAnsi="Arial" w:cs="Arial"/>
          <w:bCs/>
          <w:sz w:val="21"/>
        </w:rPr>
        <w:t xml:space="preserve"> </w:t>
      </w:r>
      <w:r w:rsidR="00387DCD">
        <w:rPr>
          <w:rFonts w:ascii="Arial" w:hAnsi="Arial" w:cs="Arial"/>
          <w:bCs/>
          <w:sz w:val="21"/>
        </w:rPr>
        <w:t xml:space="preserve">(von </w:t>
      </w:r>
      <w:r w:rsidR="00C26EA9">
        <w:rPr>
          <w:rFonts w:ascii="Arial" w:hAnsi="Arial" w:cs="Arial"/>
          <w:bCs/>
          <w:sz w:val="21"/>
        </w:rPr>
        <w:t>3,0</w:t>
      </w:r>
      <w:r w:rsidR="003D7B37">
        <w:rPr>
          <w:rFonts w:ascii="Arial" w:hAnsi="Arial" w:cs="Arial"/>
          <w:bCs/>
          <w:sz w:val="21"/>
        </w:rPr>
        <w:t>0</w:t>
      </w:r>
      <w:r w:rsidR="00A02552">
        <w:rPr>
          <w:rFonts w:ascii="Arial" w:hAnsi="Arial" w:cs="Arial"/>
          <w:bCs/>
          <w:sz w:val="21"/>
        </w:rPr>
        <w:t xml:space="preserve"> bis </w:t>
      </w:r>
      <w:r w:rsidR="00956092">
        <w:rPr>
          <w:rFonts w:ascii="Arial" w:hAnsi="Arial" w:cs="Arial"/>
          <w:bCs/>
          <w:sz w:val="21"/>
        </w:rPr>
        <w:t>6,</w:t>
      </w:r>
      <w:r w:rsidR="00C26EA9">
        <w:rPr>
          <w:rFonts w:ascii="Arial" w:hAnsi="Arial" w:cs="Arial"/>
          <w:bCs/>
          <w:sz w:val="21"/>
        </w:rPr>
        <w:t>5</w:t>
      </w:r>
      <w:r w:rsidR="000716A7">
        <w:rPr>
          <w:rFonts w:ascii="Arial" w:hAnsi="Arial" w:cs="Arial"/>
          <w:bCs/>
          <w:sz w:val="21"/>
        </w:rPr>
        <w:t>0</w:t>
      </w:r>
      <w:r w:rsidR="00387DCD">
        <w:rPr>
          <w:rFonts w:ascii="Arial" w:hAnsi="Arial" w:cs="Arial"/>
          <w:bCs/>
          <w:sz w:val="21"/>
        </w:rPr>
        <w:t xml:space="preserve">) und Fleckviehkälber bis </w:t>
      </w:r>
      <w:r w:rsidR="00913AB8">
        <w:rPr>
          <w:rFonts w:ascii="Arial" w:hAnsi="Arial" w:cs="Arial"/>
          <w:bCs/>
          <w:sz w:val="21"/>
        </w:rPr>
        <w:t>9</w:t>
      </w:r>
      <w:r w:rsidR="00387DCD">
        <w:rPr>
          <w:rFonts w:ascii="Arial" w:hAnsi="Arial" w:cs="Arial"/>
          <w:bCs/>
          <w:sz w:val="21"/>
        </w:rPr>
        <w:t xml:space="preserve">0 kg € </w:t>
      </w:r>
      <w:r>
        <w:rPr>
          <w:rFonts w:ascii="Arial" w:hAnsi="Arial" w:cs="Arial"/>
          <w:bCs/>
          <w:sz w:val="21"/>
        </w:rPr>
        <w:t>4,</w:t>
      </w:r>
      <w:r w:rsidR="00C26EA9">
        <w:rPr>
          <w:rFonts w:ascii="Arial" w:hAnsi="Arial" w:cs="Arial"/>
          <w:bCs/>
          <w:sz w:val="21"/>
        </w:rPr>
        <w:t>24</w:t>
      </w:r>
      <w:r w:rsidR="003D7B37">
        <w:rPr>
          <w:rFonts w:ascii="Arial" w:hAnsi="Arial" w:cs="Arial"/>
          <w:bCs/>
          <w:sz w:val="21"/>
        </w:rPr>
        <w:t>,</w:t>
      </w:r>
      <w:r w:rsidR="00387DCD">
        <w:rPr>
          <w:rFonts w:ascii="Arial" w:hAnsi="Arial" w:cs="Arial"/>
          <w:bCs/>
          <w:sz w:val="21"/>
        </w:rPr>
        <w:t xml:space="preserve"> bis 100 kg € </w:t>
      </w:r>
      <w:r w:rsidR="003D7B37">
        <w:rPr>
          <w:rFonts w:ascii="Arial" w:hAnsi="Arial" w:cs="Arial"/>
          <w:bCs/>
          <w:sz w:val="21"/>
        </w:rPr>
        <w:t>4,</w:t>
      </w:r>
      <w:r w:rsidR="00C26EA9">
        <w:rPr>
          <w:rFonts w:ascii="Arial" w:hAnsi="Arial" w:cs="Arial"/>
          <w:bCs/>
          <w:sz w:val="21"/>
        </w:rPr>
        <w:t>5</w:t>
      </w:r>
      <w:r w:rsidR="003D7B37">
        <w:rPr>
          <w:rFonts w:ascii="Arial" w:hAnsi="Arial" w:cs="Arial"/>
          <w:bCs/>
          <w:sz w:val="21"/>
        </w:rPr>
        <w:t>6</w:t>
      </w:r>
      <w:r w:rsidR="003458E6">
        <w:rPr>
          <w:rFonts w:ascii="Arial" w:hAnsi="Arial" w:cs="Arial"/>
          <w:bCs/>
          <w:sz w:val="21"/>
        </w:rPr>
        <w:t>,</w:t>
      </w:r>
      <w:r w:rsidR="00387DCD">
        <w:rPr>
          <w:rFonts w:ascii="Arial" w:hAnsi="Arial" w:cs="Arial"/>
          <w:bCs/>
          <w:sz w:val="21"/>
        </w:rPr>
        <w:t xml:space="preserve"> 1</w:t>
      </w:r>
      <w:r w:rsidR="00A02FB1">
        <w:rPr>
          <w:rFonts w:ascii="Arial" w:hAnsi="Arial" w:cs="Arial"/>
          <w:bCs/>
          <w:sz w:val="21"/>
        </w:rPr>
        <w:t>1</w:t>
      </w:r>
      <w:r w:rsidR="00387DCD">
        <w:rPr>
          <w:rFonts w:ascii="Arial" w:hAnsi="Arial" w:cs="Arial"/>
          <w:bCs/>
          <w:sz w:val="21"/>
        </w:rPr>
        <w:t xml:space="preserve">0 kg € </w:t>
      </w:r>
      <w:r w:rsidR="003D7B37">
        <w:rPr>
          <w:rFonts w:ascii="Arial" w:hAnsi="Arial" w:cs="Arial"/>
          <w:bCs/>
          <w:sz w:val="21"/>
        </w:rPr>
        <w:t>4</w:t>
      </w:r>
      <w:r w:rsidR="005C2C4A">
        <w:rPr>
          <w:rFonts w:ascii="Arial" w:hAnsi="Arial" w:cs="Arial"/>
          <w:bCs/>
          <w:sz w:val="21"/>
        </w:rPr>
        <w:t>,</w:t>
      </w:r>
      <w:r w:rsidR="003D7B37">
        <w:rPr>
          <w:rFonts w:ascii="Arial" w:hAnsi="Arial" w:cs="Arial"/>
          <w:bCs/>
          <w:sz w:val="21"/>
        </w:rPr>
        <w:t>45</w:t>
      </w:r>
      <w:r w:rsidR="0070026B">
        <w:rPr>
          <w:rFonts w:ascii="Arial" w:hAnsi="Arial" w:cs="Arial"/>
          <w:bCs/>
          <w:sz w:val="21"/>
        </w:rPr>
        <w:t xml:space="preserve"> und bis </w:t>
      </w:r>
      <w:r w:rsidR="000B2A92">
        <w:rPr>
          <w:rFonts w:ascii="Arial" w:hAnsi="Arial" w:cs="Arial"/>
          <w:bCs/>
          <w:sz w:val="21"/>
        </w:rPr>
        <w:t>1</w:t>
      </w:r>
      <w:r w:rsidR="00C26EA9">
        <w:rPr>
          <w:rFonts w:ascii="Arial" w:hAnsi="Arial" w:cs="Arial"/>
          <w:bCs/>
          <w:sz w:val="21"/>
        </w:rPr>
        <w:t>1</w:t>
      </w:r>
      <w:r w:rsidR="0070026B">
        <w:rPr>
          <w:rFonts w:ascii="Arial" w:hAnsi="Arial" w:cs="Arial"/>
          <w:bCs/>
          <w:sz w:val="21"/>
        </w:rPr>
        <w:t xml:space="preserve">0 kg € </w:t>
      </w:r>
      <w:r w:rsidR="00956092">
        <w:rPr>
          <w:rFonts w:ascii="Arial" w:hAnsi="Arial" w:cs="Arial"/>
          <w:bCs/>
          <w:sz w:val="21"/>
        </w:rPr>
        <w:t>4,</w:t>
      </w:r>
      <w:r w:rsidR="00C26EA9">
        <w:rPr>
          <w:rFonts w:ascii="Arial" w:hAnsi="Arial" w:cs="Arial"/>
          <w:bCs/>
          <w:sz w:val="21"/>
        </w:rPr>
        <w:t>6</w:t>
      </w:r>
      <w:r w:rsidR="003D7B37">
        <w:rPr>
          <w:rFonts w:ascii="Arial" w:hAnsi="Arial" w:cs="Arial"/>
          <w:bCs/>
          <w:sz w:val="21"/>
        </w:rPr>
        <w:t>0</w:t>
      </w:r>
      <w:r w:rsidR="00387DCD">
        <w:rPr>
          <w:rFonts w:ascii="Arial" w:hAnsi="Arial" w:cs="Arial"/>
          <w:bCs/>
          <w:sz w:val="21"/>
        </w:rPr>
        <w:t xml:space="preserve"> kosteten. </w:t>
      </w:r>
      <w:r w:rsidR="00F71CA0">
        <w:rPr>
          <w:rFonts w:ascii="Arial" w:hAnsi="Arial" w:cs="Arial"/>
          <w:bCs/>
          <w:sz w:val="21"/>
        </w:rPr>
        <w:t xml:space="preserve">Rund </w:t>
      </w:r>
      <w:r w:rsidR="003D7B37">
        <w:rPr>
          <w:rFonts w:ascii="Arial" w:hAnsi="Arial" w:cs="Arial"/>
          <w:bCs/>
          <w:sz w:val="21"/>
        </w:rPr>
        <w:t>4</w:t>
      </w:r>
      <w:r w:rsidR="00C26EA9">
        <w:rPr>
          <w:rFonts w:ascii="Arial" w:hAnsi="Arial" w:cs="Arial"/>
          <w:bCs/>
          <w:sz w:val="21"/>
        </w:rPr>
        <w:t>0</w:t>
      </w:r>
      <w:r w:rsidR="00EC05DD">
        <w:rPr>
          <w:rFonts w:ascii="Arial" w:hAnsi="Arial" w:cs="Arial"/>
          <w:bCs/>
          <w:sz w:val="21"/>
        </w:rPr>
        <w:t xml:space="preserve"> % </w:t>
      </w:r>
      <w:r w:rsidR="001A6707">
        <w:rPr>
          <w:rFonts w:ascii="Arial" w:hAnsi="Arial" w:cs="Arial"/>
          <w:bCs/>
          <w:sz w:val="21"/>
        </w:rPr>
        <w:t xml:space="preserve">der verkauften Stierkälber </w:t>
      </w:r>
      <w:r w:rsidR="00874777">
        <w:rPr>
          <w:rFonts w:ascii="Arial" w:hAnsi="Arial" w:cs="Arial"/>
          <w:bCs/>
          <w:sz w:val="21"/>
        </w:rPr>
        <w:t xml:space="preserve">wurden von </w:t>
      </w:r>
      <w:r w:rsidR="007C69B8">
        <w:rPr>
          <w:rFonts w:ascii="Arial" w:hAnsi="Arial" w:cs="Arial"/>
          <w:bCs/>
          <w:sz w:val="21"/>
        </w:rPr>
        <w:t>de</w:t>
      </w:r>
      <w:r w:rsidR="000E7D8A">
        <w:rPr>
          <w:rFonts w:ascii="Arial" w:hAnsi="Arial" w:cs="Arial"/>
          <w:bCs/>
          <w:sz w:val="21"/>
        </w:rPr>
        <w:t>n</w:t>
      </w:r>
      <w:r w:rsidR="007C69B8">
        <w:rPr>
          <w:rFonts w:ascii="Arial" w:hAnsi="Arial" w:cs="Arial"/>
          <w:bCs/>
          <w:sz w:val="21"/>
        </w:rPr>
        <w:t xml:space="preserve"> Firmen </w:t>
      </w:r>
      <w:r w:rsidR="004363A5">
        <w:rPr>
          <w:rFonts w:ascii="Arial" w:hAnsi="Arial" w:cs="Arial"/>
          <w:bCs/>
          <w:sz w:val="21"/>
        </w:rPr>
        <w:t xml:space="preserve">Österreichische Rinderbörse und </w:t>
      </w:r>
      <w:r w:rsidR="00FB7BBE">
        <w:rPr>
          <w:rFonts w:ascii="Arial" w:hAnsi="Arial" w:cs="Arial"/>
          <w:bCs/>
          <w:sz w:val="21"/>
        </w:rPr>
        <w:t xml:space="preserve">Wiestrading GmbH </w:t>
      </w:r>
      <w:r w:rsidR="00874777">
        <w:rPr>
          <w:rFonts w:ascii="Arial" w:hAnsi="Arial" w:cs="Arial"/>
          <w:bCs/>
          <w:sz w:val="21"/>
        </w:rPr>
        <w:t>erworben</w:t>
      </w:r>
      <w:r w:rsidR="00387DCD">
        <w:rPr>
          <w:rFonts w:ascii="Arial" w:hAnsi="Arial" w:cs="Arial"/>
          <w:bCs/>
          <w:sz w:val="21"/>
        </w:rPr>
        <w:t>.</w:t>
      </w:r>
      <w:r w:rsidR="002519F2">
        <w:rPr>
          <w:rFonts w:ascii="Arial" w:hAnsi="Arial" w:cs="Arial"/>
          <w:bCs/>
          <w:sz w:val="21"/>
        </w:rPr>
        <w:t xml:space="preserve"> </w:t>
      </w:r>
      <w:r w:rsidR="009E7A5B">
        <w:rPr>
          <w:rFonts w:ascii="Arial" w:hAnsi="Arial" w:cs="Arial"/>
          <w:bCs/>
          <w:sz w:val="21"/>
        </w:rPr>
        <w:t>Höhere Stückzahlen erwarb</w:t>
      </w:r>
      <w:r>
        <w:rPr>
          <w:rFonts w:ascii="Arial" w:hAnsi="Arial" w:cs="Arial"/>
          <w:bCs/>
          <w:sz w:val="21"/>
        </w:rPr>
        <w:t>en</w:t>
      </w:r>
      <w:r w:rsidR="009E7A5B">
        <w:rPr>
          <w:rFonts w:ascii="Arial" w:hAnsi="Arial" w:cs="Arial"/>
          <w:bCs/>
          <w:sz w:val="21"/>
        </w:rPr>
        <w:t xml:space="preserve"> auch die Firm</w:t>
      </w:r>
      <w:r w:rsidR="00F71CA0">
        <w:rPr>
          <w:rFonts w:ascii="Arial" w:hAnsi="Arial" w:cs="Arial"/>
          <w:bCs/>
          <w:sz w:val="21"/>
        </w:rPr>
        <w:t>a</w:t>
      </w:r>
      <w:r w:rsidR="009E7A5B">
        <w:rPr>
          <w:rFonts w:ascii="Arial" w:hAnsi="Arial" w:cs="Arial"/>
          <w:bCs/>
          <w:sz w:val="21"/>
        </w:rPr>
        <w:t xml:space="preserve"> Kaufmann aus Niederösterreich </w:t>
      </w:r>
      <w:r w:rsidR="00F71CA0">
        <w:rPr>
          <w:rFonts w:ascii="Arial" w:hAnsi="Arial" w:cs="Arial"/>
          <w:bCs/>
          <w:sz w:val="21"/>
        </w:rPr>
        <w:t xml:space="preserve">für die </w:t>
      </w:r>
      <w:proofErr w:type="spellStart"/>
      <w:r w:rsidR="00F71CA0">
        <w:rPr>
          <w:rFonts w:ascii="Arial" w:hAnsi="Arial" w:cs="Arial"/>
          <w:bCs/>
          <w:sz w:val="21"/>
        </w:rPr>
        <w:t>Fresserproduktion</w:t>
      </w:r>
      <w:proofErr w:type="spellEnd"/>
      <w:r>
        <w:rPr>
          <w:rFonts w:ascii="Arial" w:hAnsi="Arial" w:cs="Arial"/>
          <w:bCs/>
          <w:sz w:val="21"/>
        </w:rPr>
        <w:t xml:space="preserve"> sowie einige Mäster aus der Region</w:t>
      </w:r>
      <w:r w:rsidR="009E7A5B">
        <w:rPr>
          <w:rFonts w:ascii="Arial" w:hAnsi="Arial" w:cs="Arial"/>
          <w:bCs/>
          <w:sz w:val="21"/>
        </w:rPr>
        <w:t xml:space="preserve">. </w:t>
      </w:r>
    </w:p>
    <w:p w:rsidR="00925555" w:rsidRDefault="002519F2">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 xml:space="preserve">Die </w:t>
      </w:r>
      <w:r w:rsidR="00C26EA9">
        <w:rPr>
          <w:rFonts w:ascii="Arial" w:hAnsi="Arial" w:cs="Arial"/>
          <w:sz w:val="21"/>
        </w:rPr>
        <w:t>77</w:t>
      </w:r>
      <w:r w:rsidR="00387DCD">
        <w:rPr>
          <w:rFonts w:ascii="Arial" w:hAnsi="Arial" w:cs="Arial"/>
          <w:sz w:val="21"/>
        </w:rPr>
        <w:t xml:space="preserve"> </w:t>
      </w:r>
      <w:r w:rsidR="00387DCD">
        <w:rPr>
          <w:rFonts w:ascii="Arial" w:hAnsi="Arial" w:cs="Arial"/>
          <w:b/>
          <w:bCs/>
          <w:sz w:val="21"/>
        </w:rPr>
        <w:t>weibliche</w:t>
      </w:r>
      <w:r w:rsidR="00B15885">
        <w:rPr>
          <w:rFonts w:ascii="Arial" w:hAnsi="Arial" w:cs="Arial"/>
          <w:b/>
          <w:bCs/>
          <w:sz w:val="21"/>
        </w:rPr>
        <w:t>n</w:t>
      </w:r>
      <w:r w:rsidR="00387DCD">
        <w:rPr>
          <w:rFonts w:ascii="Arial" w:hAnsi="Arial" w:cs="Arial"/>
          <w:b/>
          <w:bCs/>
          <w:sz w:val="21"/>
        </w:rPr>
        <w:t xml:space="preserve"> Nutzkälber</w:t>
      </w:r>
      <w:r w:rsidR="00E44084">
        <w:rPr>
          <w:rFonts w:ascii="Arial" w:hAnsi="Arial" w:cs="Arial"/>
          <w:sz w:val="21"/>
        </w:rPr>
        <w:t xml:space="preserve"> erlösten im Schnitt € </w:t>
      </w:r>
      <w:r w:rsidR="003A6BAE">
        <w:rPr>
          <w:rFonts w:ascii="Arial" w:hAnsi="Arial" w:cs="Arial"/>
          <w:sz w:val="21"/>
        </w:rPr>
        <w:t>3,</w:t>
      </w:r>
      <w:r w:rsidR="00C26EA9">
        <w:rPr>
          <w:rFonts w:ascii="Arial" w:hAnsi="Arial" w:cs="Arial"/>
          <w:sz w:val="21"/>
        </w:rPr>
        <w:t>28</w:t>
      </w:r>
      <w:r w:rsidR="00A02FB1">
        <w:rPr>
          <w:rFonts w:ascii="Arial" w:hAnsi="Arial" w:cs="Arial"/>
          <w:sz w:val="21"/>
        </w:rPr>
        <w:t xml:space="preserve"> </w:t>
      </w:r>
      <w:r>
        <w:rPr>
          <w:rFonts w:ascii="Arial" w:hAnsi="Arial" w:cs="Arial"/>
          <w:sz w:val="21"/>
        </w:rPr>
        <w:t>netto</w:t>
      </w:r>
      <w:r w:rsidR="00710C93">
        <w:rPr>
          <w:rFonts w:ascii="Arial" w:hAnsi="Arial" w:cs="Arial"/>
          <w:sz w:val="21"/>
        </w:rPr>
        <w:t xml:space="preserve"> (</w:t>
      </w:r>
      <w:r w:rsidR="009E7A5B">
        <w:rPr>
          <w:rFonts w:ascii="Arial" w:hAnsi="Arial" w:cs="Arial"/>
          <w:sz w:val="21"/>
        </w:rPr>
        <w:t>-</w:t>
      </w:r>
      <w:r w:rsidR="00A02FB1">
        <w:rPr>
          <w:rFonts w:ascii="Arial" w:hAnsi="Arial" w:cs="Arial"/>
          <w:sz w:val="21"/>
        </w:rPr>
        <w:t xml:space="preserve">€ </w:t>
      </w:r>
      <w:r w:rsidR="0070026B">
        <w:rPr>
          <w:rFonts w:ascii="Arial" w:hAnsi="Arial" w:cs="Arial"/>
          <w:sz w:val="21"/>
        </w:rPr>
        <w:t>0,</w:t>
      </w:r>
      <w:r w:rsidR="00C26EA9">
        <w:rPr>
          <w:rFonts w:ascii="Arial" w:hAnsi="Arial" w:cs="Arial"/>
          <w:sz w:val="21"/>
        </w:rPr>
        <w:t>06</w:t>
      </w:r>
      <w:r w:rsidR="00021DF2">
        <w:rPr>
          <w:rFonts w:ascii="Arial" w:hAnsi="Arial" w:cs="Arial"/>
          <w:sz w:val="21"/>
        </w:rPr>
        <w:t xml:space="preserve">) </w:t>
      </w:r>
      <w:r w:rsidR="0044314C">
        <w:rPr>
          <w:rFonts w:ascii="Arial" w:hAnsi="Arial" w:cs="Arial"/>
          <w:sz w:val="21"/>
        </w:rPr>
        <w:t xml:space="preserve">bei einem Durchschnittsgewicht </w:t>
      </w:r>
      <w:r w:rsidR="00A02FB1">
        <w:rPr>
          <w:rFonts w:ascii="Arial" w:hAnsi="Arial" w:cs="Arial"/>
          <w:sz w:val="21"/>
        </w:rPr>
        <w:t>v</w:t>
      </w:r>
      <w:r w:rsidR="0044314C">
        <w:rPr>
          <w:rFonts w:ascii="Arial" w:hAnsi="Arial" w:cs="Arial"/>
          <w:sz w:val="21"/>
        </w:rPr>
        <w:t xml:space="preserve">on </w:t>
      </w:r>
      <w:r w:rsidR="00B14053">
        <w:rPr>
          <w:rFonts w:ascii="Arial" w:hAnsi="Arial" w:cs="Arial"/>
          <w:sz w:val="21"/>
        </w:rPr>
        <w:t>8</w:t>
      </w:r>
      <w:r w:rsidR="003D7B37">
        <w:rPr>
          <w:rFonts w:ascii="Arial" w:hAnsi="Arial" w:cs="Arial"/>
          <w:sz w:val="21"/>
        </w:rPr>
        <w:t>9</w:t>
      </w:r>
      <w:r w:rsidR="00453C39">
        <w:rPr>
          <w:rFonts w:ascii="Arial" w:hAnsi="Arial" w:cs="Arial"/>
          <w:sz w:val="21"/>
        </w:rPr>
        <w:t xml:space="preserve"> </w:t>
      </w:r>
      <w:r w:rsidR="0044314C">
        <w:rPr>
          <w:rFonts w:ascii="Arial" w:hAnsi="Arial" w:cs="Arial"/>
          <w:sz w:val="21"/>
        </w:rPr>
        <w:t>kg</w:t>
      </w:r>
      <w:r w:rsidR="00287A52">
        <w:rPr>
          <w:rFonts w:ascii="Arial" w:hAnsi="Arial" w:cs="Arial"/>
          <w:sz w:val="21"/>
        </w:rPr>
        <w:t>.</w:t>
      </w:r>
    </w:p>
    <w:p w:rsidR="00B07A6D" w:rsidRDefault="002E7248" w:rsidP="00925555">
      <w:pPr>
        <w:tabs>
          <w:tab w:val="left" w:pos="2127"/>
          <w:tab w:val="left" w:pos="3119"/>
          <w:tab w:val="left" w:pos="4253"/>
          <w:tab w:val="left" w:pos="5670"/>
          <w:tab w:val="left" w:pos="6946"/>
          <w:tab w:val="left" w:pos="7938"/>
        </w:tabs>
        <w:spacing w:before="120"/>
        <w:jc w:val="both"/>
        <w:rPr>
          <w:rFonts w:ascii="Arial" w:hAnsi="Arial" w:cs="Arial"/>
          <w:sz w:val="21"/>
        </w:rPr>
      </w:pPr>
      <w:r>
        <w:rPr>
          <w:rFonts w:ascii="Arial" w:hAnsi="Arial" w:cs="Arial"/>
          <w:sz w:val="21"/>
        </w:rPr>
        <w:t>Der Durchschnittspreis</w:t>
      </w:r>
      <w:r w:rsidR="00743174">
        <w:rPr>
          <w:rFonts w:ascii="Arial" w:hAnsi="Arial" w:cs="Arial"/>
          <w:sz w:val="21"/>
        </w:rPr>
        <w:t xml:space="preserve"> der </w:t>
      </w:r>
      <w:r w:rsidR="00C26EA9">
        <w:rPr>
          <w:rFonts w:ascii="Arial" w:hAnsi="Arial" w:cs="Arial"/>
          <w:sz w:val="21"/>
        </w:rPr>
        <w:t>43</w:t>
      </w:r>
      <w:r w:rsidR="00EC05DD">
        <w:rPr>
          <w:rFonts w:ascii="Arial" w:hAnsi="Arial" w:cs="Arial"/>
          <w:sz w:val="21"/>
        </w:rPr>
        <w:t xml:space="preserve"> </w:t>
      </w:r>
      <w:r w:rsidR="00B23E7A">
        <w:rPr>
          <w:rFonts w:ascii="Arial" w:hAnsi="Arial" w:cs="Arial"/>
          <w:sz w:val="21"/>
        </w:rPr>
        <w:t>verkauften</w:t>
      </w:r>
      <w:r w:rsidR="00743174">
        <w:rPr>
          <w:rFonts w:ascii="Arial" w:hAnsi="Arial" w:cs="Arial"/>
          <w:sz w:val="21"/>
        </w:rPr>
        <w:t xml:space="preserve"> </w:t>
      </w:r>
      <w:r w:rsidR="00743174">
        <w:rPr>
          <w:rFonts w:ascii="Arial" w:hAnsi="Arial" w:cs="Arial"/>
          <w:b/>
          <w:bCs/>
          <w:sz w:val="21"/>
        </w:rPr>
        <w:t>Zuchtkälber</w:t>
      </w:r>
      <w:r w:rsidR="00743174">
        <w:rPr>
          <w:rFonts w:ascii="Arial" w:hAnsi="Arial" w:cs="Arial"/>
          <w:sz w:val="21"/>
        </w:rPr>
        <w:t xml:space="preserve"> </w:t>
      </w:r>
      <w:r w:rsidR="005323BC">
        <w:rPr>
          <w:rFonts w:ascii="Arial" w:hAnsi="Arial" w:cs="Arial"/>
          <w:sz w:val="21"/>
        </w:rPr>
        <w:t>belief</w:t>
      </w:r>
      <w:r w:rsidR="00EC05DD">
        <w:rPr>
          <w:rFonts w:ascii="Arial" w:hAnsi="Arial" w:cs="Arial"/>
          <w:sz w:val="21"/>
        </w:rPr>
        <w:t xml:space="preserve"> sich</w:t>
      </w:r>
      <w:r w:rsidR="0007501F">
        <w:rPr>
          <w:rFonts w:ascii="Arial" w:hAnsi="Arial" w:cs="Arial"/>
          <w:sz w:val="21"/>
        </w:rPr>
        <w:t xml:space="preserve"> </w:t>
      </w:r>
      <w:r>
        <w:rPr>
          <w:rFonts w:ascii="Arial" w:hAnsi="Arial" w:cs="Arial"/>
          <w:sz w:val="21"/>
        </w:rPr>
        <w:t xml:space="preserve">auf € </w:t>
      </w:r>
      <w:r w:rsidR="00C26EA9">
        <w:rPr>
          <w:rFonts w:ascii="Arial" w:hAnsi="Arial" w:cs="Arial"/>
          <w:sz w:val="21"/>
        </w:rPr>
        <w:t>585,</w:t>
      </w:r>
      <w:proofErr w:type="gramStart"/>
      <w:r w:rsidR="00C26EA9">
        <w:rPr>
          <w:rFonts w:ascii="Arial" w:hAnsi="Arial" w:cs="Arial"/>
          <w:sz w:val="21"/>
        </w:rPr>
        <w:t>24</w:t>
      </w:r>
      <w:r>
        <w:rPr>
          <w:rFonts w:ascii="Arial" w:hAnsi="Arial" w:cs="Arial"/>
          <w:sz w:val="21"/>
        </w:rPr>
        <w:t xml:space="preserve"> </w:t>
      </w:r>
      <w:r w:rsidR="008D5530">
        <w:rPr>
          <w:rFonts w:ascii="Arial" w:hAnsi="Arial" w:cs="Arial"/>
          <w:sz w:val="21"/>
        </w:rPr>
        <w:t xml:space="preserve"> bei</w:t>
      </w:r>
      <w:proofErr w:type="gramEnd"/>
      <w:r w:rsidR="008D5530">
        <w:rPr>
          <w:rFonts w:ascii="Arial" w:hAnsi="Arial" w:cs="Arial"/>
          <w:sz w:val="21"/>
        </w:rPr>
        <w:t xml:space="preserve"> einem Durchschnittsgewicht von </w:t>
      </w:r>
      <w:r w:rsidR="003A6BAE">
        <w:rPr>
          <w:rFonts w:ascii="Arial" w:hAnsi="Arial" w:cs="Arial"/>
          <w:sz w:val="21"/>
        </w:rPr>
        <w:t>10</w:t>
      </w:r>
      <w:r w:rsidR="00C26EA9">
        <w:rPr>
          <w:rFonts w:ascii="Arial" w:hAnsi="Arial" w:cs="Arial"/>
          <w:sz w:val="21"/>
        </w:rPr>
        <w:t>1</w:t>
      </w:r>
      <w:r w:rsidR="00CC3CD6">
        <w:rPr>
          <w:rFonts w:ascii="Arial" w:hAnsi="Arial" w:cs="Arial"/>
          <w:sz w:val="21"/>
        </w:rPr>
        <w:t xml:space="preserve"> </w:t>
      </w:r>
      <w:r w:rsidR="008D5530">
        <w:rPr>
          <w:rFonts w:ascii="Arial" w:hAnsi="Arial" w:cs="Arial"/>
          <w:sz w:val="21"/>
        </w:rPr>
        <w:t xml:space="preserve">kg. </w:t>
      </w:r>
      <w:r w:rsidR="006473C2">
        <w:rPr>
          <w:rFonts w:ascii="Arial" w:hAnsi="Arial" w:cs="Arial"/>
          <w:sz w:val="21"/>
        </w:rPr>
        <w:t>Gut entwickelte Kälber mit Abstammungen über 6.</w:t>
      </w:r>
      <w:r w:rsidR="00657171">
        <w:rPr>
          <w:rFonts w:ascii="Arial" w:hAnsi="Arial" w:cs="Arial"/>
          <w:sz w:val="21"/>
        </w:rPr>
        <w:t>5</w:t>
      </w:r>
      <w:r w:rsidR="006473C2">
        <w:rPr>
          <w:rFonts w:ascii="Arial" w:hAnsi="Arial" w:cs="Arial"/>
          <w:sz w:val="21"/>
        </w:rPr>
        <w:t>00 l Mutterleistung konnten zu</w:t>
      </w:r>
      <w:r w:rsidR="009218E9">
        <w:rPr>
          <w:rFonts w:ascii="Arial" w:hAnsi="Arial" w:cs="Arial"/>
          <w:sz w:val="21"/>
        </w:rPr>
        <w:t xml:space="preserve"> sehr</w:t>
      </w:r>
      <w:r w:rsidR="00657171">
        <w:rPr>
          <w:rFonts w:ascii="Arial" w:hAnsi="Arial" w:cs="Arial"/>
          <w:sz w:val="21"/>
        </w:rPr>
        <w:t xml:space="preserve"> </w:t>
      </w:r>
      <w:r w:rsidR="008F3EE4">
        <w:rPr>
          <w:rFonts w:ascii="Arial" w:hAnsi="Arial" w:cs="Arial"/>
          <w:sz w:val="21"/>
        </w:rPr>
        <w:t>zufriedenstellenden</w:t>
      </w:r>
      <w:r w:rsidR="006473C2">
        <w:rPr>
          <w:rFonts w:ascii="Arial" w:hAnsi="Arial" w:cs="Arial"/>
          <w:sz w:val="21"/>
        </w:rPr>
        <w:t xml:space="preserve"> Preisen vermarktet werden. </w:t>
      </w:r>
      <w:r w:rsidR="009125FD">
        <w:rPr>
          <w:rFonts w:ascii="Arial" w:hAnsi="Arial" w:cs="Arial"/>
          <w:sz w:val="21"/>
        </w:rPr>
        <w:t>Rund</w:t>
      </w:r>
      <w:r w:rsidR="00113F4F">
        <w:rPr>
          <w:rFonts w:ascii="Arial" w:hAnsi="Arial" w:cs="Arial"/>
          <w:sz w:val="21"/>
        </w:rPr>
        <w:t xml:space="preserve"> € </w:t>
      </w:r>
      <w:r w:rsidR="003D7B37">
        <w:rPr>
          <w:rFonts w:ascii="Arial" w:hAnsi="Arial" w:cs="Arial"/>
          <w:sz w:val="21"/>
        </w:rPr>
        <w:t>9</w:t>
      </w:r>
      <w:r w:rsidR="00C26EA9">
        <w:rPr>
          <w:rFonts w:ascii="Arial" w:hAnsi="Arial" w:cs="Arial"/>
          <w:sz w:val="21"/>
        </w:rPr>
        <w:t>70</w:t>
      </w:r>
      <w:r w:rsidR="00CC3CD6">
        <w:rPr>
          <w:rFonts w:ascii="Arial" w:hAnsi="Arial" w:cs="Arial"/>
          <w:sz w:val="21"/>
        </w:rPr>
        <w:t>,</w:t>
      </w:r>
      <w:r w:rsidR="005A7382">
        <w:rPr>
          <w:rFonts w:ascii="Arial" w:hAnsi="Arial" w:cs="Arial"/>
          <w:sz w:val="21"/>
        </w:rPr>
        <w:t xml:space="preserve">- </w:t>
      </w:r>
      <w:r w:rsidR="00341BF5">
        <w:rPr>
          <w:rFonts w:ascii="Arial" w:hAnsi="Arial" w:cs="Arial"/>
          <w:sz w:val="21"/>
        </w:rPr>
        <w:t>brutto</w:t>
      </w:r>
      <w:r w:rsidR="00F93EC8">
        <w:rPr>
          <w:rFonts w:ascii="Arial" w:hAnsi="Arial" w:cs="Arial"/>
          <w:sz w:val="21"/>
        </w:rPr>
        <w:t xml:space="preserve"> </w:t>
      </w:r>
      <w:r w:rsidR="00107C25">
        <w:rPr>
          <w:rFonts w:ascii="Arial" w:hAnsi="Arial" w:cs="Arial"/>
          <w:sz w:val="21"/>
        </w:rPr>
        <w:t>erlöste der Zuchtbet</w:t>
      </w:r>
      <w:r w:rsidR="00B23E7A">
        <w:rPr>
          <w:rFonts w:ascii="Arial" w:hAnsi="Arial" w:cs="Arial"/>
          <w:sz w:val="21"/>
        </w:rPr>
        <w:t>r</w:t>
      </w:r>
      <w:r w:rsidR="00107C25">
        <w:rPr>
          <w:rFonts w:ascii="Arial" w:hAnsi="Arial" w:cs="Arial"/>
          <w:sz w:val="21"/>
        </w:rPr>
        <w:t xml:space="preserve">ieb </w:t>
      </w:r>
      <w:r w:rsidR="00C26EA9">
        <w:rPr>
          <w:rFonts w:ascii="Arial" w:hAnsi="Arial" w:cs="Arial"/>
          <w:sz w:val="21"/>
        </w:rPr>
        <w:t>Ensinger aus St. Georgen</w:t>
      </w:r>
      <w:r w:rsidR="00956092">
        <w:rPr>
          <w:rFonts w:ascii="Arial" w:hAnsi="Arial" w:cs="Arial"/>
          <w:sz w:val="21"/>
        </w:rPr>
        <w:t xml:space="preserve"> für </w:t>
      </w:r>
      <w:r w:rsidR="0022511C">
        <w:rPr>
          <w:rFonts w:ascii="Arial" w:hAnsi="Arial" w:cs="Arial"/>
          <w:sz w:val="21"/>
        </w:rPr>
        <w:t xml:space="preserve">ein </w:t>
      </w:r>
      <w:r w:rsidR="00C26EA9">
        <w:rPr>
          <w:rFonts w:ascii="Arial" w:hAnsi="Arial" w:cs="Arial"/>
          <w:sz w:val="21"/>
        </w:rPr>
        <w:t xml:space="preserve">gut entwickeltes Evergreen-Kalb </w:t>
      </w:r>
      <w:r w:rsidR="0022511C">
        <w:rPr>
          <w:rFonts w:ascii="Arial" w:hAnsi="Arial" w:cs="Arial"/>
          <w:sz w:val="21"/>
        </w:rPr>
        <w:t xml:space="preserve">aus einer </w:t>
      </w:r>
      <w:r w:rsidR="003D7B37">
        <w:rPr>
          <w:rFonts w:ascii="Arial" w:hAnsi="Arial" w:cs="Arial"/>
          <w:sz w:val="21"/>
        </w:rPr>
        <w:t xml:space="preserve">leistungsstarken </w:t>
      </w:r>
      <w:r w:rsidR="00C26EA9">
        <w:rPr>
          <w:rFonts w:ascii="Arial" w:hAnsi="Arial" w:cs="Arial"/>
          <w:sz w:val="21"/>
        </w:rPr>
        <w:t>Bodega</w:t>
      </w:r>
      <w:r w:rsidR="0022511C">
        <w:rPr>
          <w:rFonts w:ascii="Arial" w:hAnsi="Arial" w:cs="Arial"/>
          <w:sz w:val="21"/>
        </w:rPr>
        <w:t>-Tochter.</w:t>
      </w:r>
    </w:p>
    <w:p w:rsidR="00EC05DD" w:rsidRPr="00F32759" w:rsidRDefault="00EC05DD">
      <w:pPr>
        <w:tabs>
          <w:tab w:val="left" w:pos="2127"/>
          <w:tab w:val="left" w:pos="3119"/>
          <w:tab w:val="left" w:pos="4253"/>
          <w:tab w:val="left" w:pos="5670"/>
          <w:tab w:val="left" w:pos="6946"/>
          <w:tab w:val="left" w:pos="7938"/>
        </w:tabs>
        <w:spacing w:before="120"/>
        <w:jc w:val="both"/>
        <w:rPr>
          <w:rFonts w:ascii="Arial" w:hAnsi="Arial" w:cs="Arial"/>
          <w:sz w:val="5"/>
          <w:szCs w:val="5"/>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1134"/>
        <w:gridCol w:w="1275"/>
        <w:gridCol w:w="1418"/>
        <w:gridCol w:w="2126"/>
      </w:tblGrid>
      <w:tr w:rsidR="00387DCD" w:rsidTr="0069444B">
        <w:trPr>
          <w:trHeight w:val="521"/>
        </w:trPr>
        <w:tc>
          <w:tcPr>
            <w:tcW w:w="1985" w:type="dxa"/>
          </w:tcPr>
          <w:p w:rsidR="00387DCD" w:rsidRDefault="00387DCD">
            <w:pPr>
              <w:rPr>
                <w:rFonts w:ascii="Arial" w:hAnsi="Arial" w:cs="Arial"/>
                <w:sz w:val="22"/>
              </w:rPr>
            </w:pPr>
            <w:r>
              <w:rPr>
                <w:rFonts w:ascii="Arial" w:hAnsi="Arial" w:cs="Arial"/>
                <w:sz w:val="22"/>
                <w:u w:val="single"/>
              </w:rPr>
              <w:t>Verkaufsergebnis:</w:t>
            </w:r>
            <w:r>
              <w:rPr>
                <w:rFonts w:ascii="Arial" w:hAnsi="Arial" w:cs="Arial"/>
                <w:sz w:val="22"/>
              </w:rPr>
              <w:t xml:space="preserve"> </w:t>
            </w:r>
          </w:p>
        </w:tc>
        <w:tc>
          <w:tcPr>
            <w:tcW w:w="1276" w:type="dxa"/>
          </w:tcPr>
          <w:p w:rsidR="00387DCD" w:rsidRDefault="00387DCD">
            <w:pPr>
              <w:rPr>
                <w:rFonts w:ascii="Arial" w:hAnsi="Arial" w:cs="Arial"/>
                <w:b/>
                <w:bCs/>
                <w:sz w:val="22"/>
              </w:rPr>
            </w:pPr>
            <w:r>
              <w:rPr>
                <w:rFonts w:ascii="Arial" w:hAnsi="Arial" w:cs="Arial"/>
                <w:b/>
                <w:bCs/>
                <w:sz w:val="22"/>
              </w:rPr>
              <w:t>Verkauf</w:t>
            </w:r>
          </w:p>
        </w:tc>
        <w:tc>
          <w:tcPr>
            <w:tcW w:w="1134" w:type="dxa"/>
          </w:tcPr>
          <w:p w:rsidR="00387DCD" w:rsidRDefault="00387DCD">
            <w:pPr>
              <w:jc w:val="center"/>
              <w:rPr>
                <w:rFonts w:ascii="Arial" w:hAnsi="Arial" w:cs="Arial"/>
                <w:b/>
                <w:bCs/>
                <w:sz w:val="22"/>
              </w:rPr>
            </w:pPr>
            <w:r>
              <w:rPr>
                <w:rFonts w:ascii="Arial" w:hAnsi="Arial" w:cs="Arial"/>
                <w:b/>
                <w:bCs/>
                <w:sz w:val="22"/>
              </w:rPr>
              <w:t>Ø-Preis</w:t>
            </w:r>
          </w:p>
          <w:p w:rsidR="00387DCD" w:rsidRDefault="00387DCD">
            <w:pPr>
              <w:jc w:val="center"/>
              <w:rPr>
                <w:rFonts w:ascii="Arial" w:hAnsi="Arial" w:cs="Arial"/>
                <w:b/>
                <w:bCs/>
                <w:sz w:val="22"/>
              </w:rPr>
            </w:pPr>
            <w:r>
              <w:rPr>
                <w:rFonts w:ascii="Arial" w:hAnsi="Arial" w:cs="Arial"/>
                <w:b/>
                <w:bCs/>
                <w:sz w:val="22"/>
              </w:rPr>
              <w:t>netto</w:t>
            </w:r>
          </w:p>
        </w:tc>
        <w:tc>
          <w:tcPr>
            <w:tcW w:w="1275" w:type="dxa"/>
          </w:tcPr>
          <w:p w:rsidR="00387DCD" w:rsidRDefault="00387DCD">
            <w:pPr>
              <w:jc w:val="center"/>
              <w:rPr>
                <w:rFonts w:ascii="Arial" w:hAnsi="Arial" w:cs="Arial"/>
                <w:sz w:val="22"/>
              </w:rPr>
            </w:pPr>
            <w:r>
              <w:rPr>
                <w:rFonts w:ascii="Arial" w:hAnsi="Arial" w:cs="Arial"/>
                <w:sz w:val="22"/>
              </w:rPr>
              <w:t>Ø-Preis</w:t>
            </w:r>
          </w:p>
          <w:p w:rsidR="00387DCD" w:rsidRDefault="00387DCD">
            <w:pPr>
              <w:jc w:val="center"/>
              <w:rPr>
                <w:rFonts w:ascii="Arial" w:hAnsi="Arial" w:cs="Arial"/>
                <w:sz w:val="22"/>
              </w:rPr>
            </w:pPr>
            <w:r>
              <w:rPr>
                <w:rFonts w:ascii="Arial" w:hAnsi="Arial" w:cs="Arial"/>
                <w:sz w:val="22"/>
              </w:rPr>
              <w:t>inkl. Mwst</w:t>
            </w:r>
          </w:p>
        </w:tc>
        <w:tc>
          <w:tcPr>
            <w:tcW w:w="1418" w:type="dxa"/>
          </w:tcPr>
          <w:p w:rsidR="00387DCD" w:rsidRDefault="00387DCD">
            <w:pPr>
              <w:jc w:val="center"/>
              <w:rPr>
                <w:rFonts w:ascii="Arial" w:hAnsi="Arial" w:cs="Arial"/>
                <w:b/>
                <w:bCs/>
                <w:sz w:val="22"/>
              </w:rPr>
            </w:pPr>
            <w:r>
              <w:rPr>
                <w:rFonts w:ascii="Arial" w:hAnsi="Arial" w:cs="Arial"/>
                <w:b/>
                <w:bCs/>
                <w:sz w:val="22"/>
              </w:rPr>
              <w:t>Ø-Gewicht</w:t>
            </w:r>
          </w:p>
        </w:tc>
        <w:tc>
          <w:tcPr>
            <w:tcW w:w="2126" w:type="dxa"/>
          </w:tcPr>
          <w:p w:rsidR="00387DCD" w:rsidRDefault="00387DCD">
            <w:pPr>
              <w:jc w:val="center"/>
              <w:rPr>
                <w:rFonts w:ascii="Arial" w:hAnsi="Arial" w:cs="Arial"/>
                <w:sz w:val="20"/>
              </w:rPr>
            </w:pPr>
            <w:r>
              <w:rPr>
                <w:rFonts w:ascii="Arial" w:hAnsi="Arial" w:cs="Arial"/>
                <w:sz w:val="20"/>
              </w:rPr>
              <w:t>Ø-Preis/Stk</w:t>
            </w:r>
          </w:p>
          <w:p w:rsidR="00387DCD" w:rsidRDefault="00387DCD">
            <w:pPr>
              <w:jc w:val="center"/>
              <w:rPr>
                <w:rFonts w:ascii="Arial" w:hAnsi="Arial" w:cs="Arial"/>
                <w:sz w:val="20"/>
              </w:rPr>
            </w:pPr>
            <w:r>
              <w:rPr>
                <w:rFonts w:ascii="Arial" w:hAnsi="Arial" w:cs="Arial"/>
                <w:sz w:val="20"/>
              </w:rPr>
              <w:t>inkl. Mwst.</w:t>
            </w:r>
          </w:p>
        </w:tc>
      </w:tr>
      <w:tr w:rsidR="00387DCD" w:rsidTr="001A6707">
        <w:trPr>
          <w:trHeight w:val="281"/>
        </w:trPr>
        <w:tc>
          <w:tcPr>
            <w:tcW w:w="1985" w:type="dxa"/>
          </w:tcPr>
          <w:p w:rsidR="00387DCD" w:rsidRDefault="00387DCD">
            <w:pPr>
              <w:rPr>
                <w:rFonts w:ascii="Arial" w:hAnsi="Arial" w:cs="Arial"/>
                <w:sz w:val="22"/>
              </w:rPr>
            </w:pPr>
            <w:r>
              <w:rPr>
                <w:rFonts w:ascii="Arial" w:hAnsi="Arial" w:cs="Arial"/>
                <w:sz w:val="22"/>
              </w:rPr>
              <w:t>Stierkälber</w:t>
            </w:r>
          </w:p>
        </w:tc>
        <w:tc>
          <w:tcPr>
            <w:tcW w:w="1276" w:type="dxa"/>
          </w:tcPr>
          <w:p w:rsidR="00387DCD" w:rsidRDefault="00B6273F" w:rsidP="00FB07AA">
            <w:pPr>
              <w:tabs>
                <w:tab w:val="decimal" w:pos="733"/>
              </w:tabs>
              <w:rPr>
                <w:rFonts w:ascii="Arial" w:hAnsi="Arial" w:cs="Arial"/>
                <w:b/>
                <w:sz w:val="22"/>
              </w:rPr>
            </w:pPr>
            <w:r>
              <w:rPr>
                <w:rFonts w:ascii="Arial" w:hAnsi="Arial" w:cs="Arial"/>
                <w:b/>
                <w:sz w:val="22"/>
              </w:rPr>
              <w:t>325</w:t>
            </w:r>
          </w:p>
        </w:tc>
        <w:tc>
          <w:tcPr>
            <w:tcW w:w="1134" w:type="dxa"/>
          </w:tcPr>
          <w:p w:rsidR="00387DCD" w:rsidRDefault="00B6273F" w:rsidP="003334C9">
            <w:pPr>
              <w:tabs>
                <w:tab w:val="decimal" w:pos="497"/>
              </w:tabs>
              <w:rPr>
                <w:rFonts w:ascii="Arial" w:hAnsi="Arial" w:cs="Arial"/>
                <w:b/>
                <w:bCs/>
                <w:sz w:val="22"/>
              </w:rPr>
            </w:pPr>
            <w:r>
              <w:rPr>
                <w:rFonts w:ascii="Arial" w:hAnsi="Arial" w:cs="Arial"/>
                <w:b/>
                <w:bCs/>
                <w:sz w:val="22"/>
              </w:rPr>
              <w:t>4,48</w:t>
            </w:r>
          </w:p>
        </w:tc>
        <w:tc>
          <w:tcPr>
            <w:tcW w:w="1275" w:type="dxa"/>
          </w:tcPr>
          <w:p w:rsidR="00387DCD" w:rsidRDefault="00B6273F" w:rsidP="00C04E8F">
            <w:pPr>
              <w:tabs>
                <w:tab w:val="decimal" w:pos="497"/>
              </w:tabs>
              <w:rPr>
                <w:rFonts w:ascii="Arial" w:hAnsi="Arial" w:cs="Arial"/>
                <w:sz w:val="22"/>
              </w:rPr>
            </w:pPr>
            <w:r>
              <w:rPr>
                <w:rFonts w:ascii="Arial" w:hAnsi="Arial" w:cs="Arial"/>
                <w:sz w:val="22"/>
              </w:rPr>
              <w:t>5,06</w:t>
            </w:r>
          </w:p>
        </w:tc>
        <w:tc>
          <w:tcPr>
            <w:tcW w:w="1418" w:type="dxa"/>
          </w:tcPr>
          <w:p w:rsidR="00387DCD" w:rsidRDefault="00B6273F" w:rsidP="00D94724">
            <w:pPr>
              <w:tabs>
                <w:tab w:val="decimal" w:pos="781"/>
              </w:tabs>
              <w:rPr>
                <w:rFonts w:ascii="Arial" w:hAnsi="Arial" w:cs="Arial"/>
                <w:b/>
                <w:sz w:val="22"/>
              </w:rPr>
            </w:pPr>
            <w:r>
              <w:rPr>
                <w:rFonts w:ascii="Arial" w:hAnsi="Arial" w:cs="Arial"/>
                <w:b/>
                <w:sz w:val="22"/>
              </w:rPr>
              <w:t>94</w:t>
            </w:r>
          </w:p>
        </w:tc>
        <w:tc>
          <w:tcPr>
            <w:tcW w:w="2126" w:type="dxa"/>
          </w:tcPr>
          <w:p w:rsidR="00387DCD" w:rsidRDefault="00B6273F" w:rsidP="00D94724">
            <w:pPr>
              <w:tabs>
                <w:tab w:val="decimal" w:pos="1064"/>
              </w:tabs>
              <w:rPr>
                <w:rFonts w:ascii="Arial" w:hAnsi="Arial" w:cs="Arial"/>
                <w:bCs/>
                <w:sz w:val="20"/>
              </w:rPr>
            </w:pPr>
            <w:r>
              <w:rPr>
                <w:rFonts w:ascii="Arial" w:hAnsi="Arial" w:cs="Arial"/>
                <w:bCs/>
                <w:sz w:val="20"/>
              </w:rPr>
              <w:t>475,50</w:t>
            </w:r>
          </w:p>
        </w:tc>
      </w:tr>
      <w:tr w:rsidR="00387DCD">
        <w:trPr>
          <w:trHeight w:val="293"/>
        </w:trPr>
        <w:tc>
          <w:tcPr>
            <w:tcW w:w="1985" w:type="dxa"/>
          </w:tcPr>
          <w:p w:rsidR="00387DCD" w:rsidRDefault="00387DCD">
            <w:pPr>
              <w:rPr>
                <w:rFonts w:ascii="Arial" w:hAnsi="Arial" w:cs="Arial"/>
                <w:sz w:val="22"/>
              </w:rPr>
            </w:pPr>
            <w:r>
              <w:rPr>
                <w:rFonts w:ascii="Arial" w:hAnsi="Arial" w:cs="Arial"/>
                <w:sz w:val="22"/>
              </w:rPr>
              <w:t>weibl.</w:t>
            </w:r>
            <w:r w:rsidR="000E7D8A">
              <w:rPr>
                <w:rFonts w:ascii="Arial" w:hAnsi="Arial" w:cs="Arial"/>
                <w:sz w:val="22"/>
              </w:rPr>
              <w:t xml:space="preserve"> </w:t>
            </w:r>
            <w:r>
              <w:rPr>
                <w:rFonts w:ascii="Arial" w:hAnsi="Arial" w:cs="Arial"/>
                <w:sz w:val="22"/>
              </w:rPr>
              <w:t>Zuchtkälber</w:t>
            </w:r>
          </w:p>
        </w:tc>
        <w:tc>
          <w:tcPr>
            <w:tcW w:w="1276" w:type="dxa"/>
          </w:tcPr>
          <w:p w:rsidR="00387DCD" w:rsidRDefault="00B6273F" w:rsidP="003334C9">
            <w:pPr>
              <w:tabs>
                <w:tab w:val="decimal" w:pos="733"/>
              </w:tabs>
              <w:rPr>
                <w:rFonts w:ascii="Arial" w:hAnsi="Arial" w:cs="Arial"/>
                <w:b/>
                <w:sz w:val="22"/>
              </w:rPr>
            </w:pPr>
            <w:r>
              <w:rPr>
                <w:rFonts w:ascii="Arial" w:hAnsi="Arial" w:cs="Arial"/>
                <w:b/>
                <w:sz w:val="22"/>
              </w:rPr>
              <w:t>43</w:t>
            </w:r>
          </w:p>
        </w:tc>
        <w:tc>
          <w:tcPr>
            <w:tcW w:w="1134" w:type="dxa"/>
          </w:tcPr>
          <w:p w:rsidR="00387DCD" w:rsidRDefault="00B6273F" w:rsidP="003334C9">
            <w:pPr>
              <w:tabs>
                <w:tab w:val="decimal" w:pos="497"/>
              </w:tabs>
              <w:rPr>
                <w:rFonts w:ascii="Arial" w:hAnsi="Arial" w:cs="Arial"/>
                <w:b/>
                <w:bCs/>
                <w:sz w:val="22"/>
              </w:rPr>
            </w:pPr>
            <w:r>
              <w:rPr>
                <w:rFonts w:ascii="Arial" w:hAnsi="Arial" w:cs="Arial"/>
                <w:b/>
                <w:bCs/>
                <w:sz w:val="22"/>
              </w:rPr>
              <w:t>5,14</w:t>
            </w:r>
          </w:p>
        </w:tc>
        <w:tc>
          <w:tcPr>
            <w:tcW w:w="1275" w:type="dxa"/>
          </w:tcPr>
          <w:p w:rsidR="00387DCD" w:rsidRDefault="00B6273F" w:rsidP="003334C9">
            <w:pPr>
              <w:tabs>
                <w:tab w:val="decimal" w:pos="497"/>
              </w:tabs>
              <w:rPr>
                <w:rFonts w:ascii="Arial" w:hAnsi="Arial" w:cs="Arial"/>
                <w:sz w:val="22"/>
              </w:rPr>
            </w:pPr>
            <w:r>
              <w:rPr>
                <w:rFonts w:ascii="Arial" w:hAnsi="Arial" w:cs="Arial"/>
                <w:sz w:val="22"/>
              </w:rPr>
              <w:t>5,81</w:t>
            </w:r>
          </w:p>
        </w:tc>
        <w:tc>
          <w:tcPr>
            <w:tcW w:w="1418" w:type="dxa"/>
          </w:tcPr>
          <w:p w:rsidR="00387DCD" w:rsidRDefault="00B6273F" w:rsidP="003334C9">
            <w:pPr>
              <w:tabs>
                <w:tab w:val="decimal" w:pos="781"/>
              </w:tabs>
              <w:rPr>
                <w:rFonts w:ascii="Arial" w:hAnsi="Arial" w:cs="Arial"/>
                <w:b/>
                <w:sz w:val="22"/>
              </w:rPr>
            </w:pPr>
            <w:r>
              <w:rPr>
                <w:rFonts w:ascii="Arial" w:hAnsi="Arial" w:cs="Arial"/>
                <w:b/>
                <w:sz w:val="22"/>
              </w:rPr>
              <w:t>101</w:t>
            </w:r>
          </w:p>
        </w:tc>
        <w:tc>
          <w:tcPr>
            <w:tcW w:w="2126" w:type="dxa"/>
          </w:tcPr>
          <w:p w:rsidR="00387DCD" w:rsidRDefault="00B6273F">
            <w:pPr>
              <w:tabs>
                <w:tab w:val="decimal" w:pos="1064"/>
              </w:tabs>
              <w:rPr>
                <w:rFonts w:ascii="Arial" w:hAnsi="Arial" w:cs="Arial"/>
                <w:bCs/>
                <w:sz w:val="20"/>
              </w:rPr>
            </w:pPr>
            <w:r>
              <w:rPr>
                <w:rFonts w:ascii="Arial" w:hAnsi="Arial" w:cs="Arial"/>
                <w:bCs/>
                <w:sz w:val="20"/>
              </w:rPr>
              <w:t>585,24</w:t>
            </w:r>
          </w:p>
        </w:tc>
      </w:tr>
      <w:tr w:rsidR="00387DCD" w:rsidTr="001A6707">
        <w:trPr>
          <w:trHeight w:val="233"/>
        </w:trPr>
        <w:tc>
          <w:tcPr>
            <w:tcW w:w="1985" w:type="dxa"/>
          </w:tcPr>
          <w:p w:rsidR="00387DCD" w:rsidRDefault="00387DCD">
            <w:pPr>
              <w:rPr>
                <w:rFonts w:ascii="Arial" w:hAnsi="Arial" w:cs="Arial"/>
                <w:sz w:val="22"/>
              </w:rPr>
            </w:pPr>
            <w:r>
              <w:rPr>
                <w:rFonts w:ascii="Arial" w:hAnsi="Arial" w:cs="Arial"/>
                <w:sz w:val="22"/>
              </w:rPr>
              <w:t>weibl. Nutzkälber</w:t>
            </w:r>
          </w:p>
        </w:tc>
        <w:tc>
          <w:tcPr>
            <w:tcW w:w="1276" w:type="dxa"/>
          </w:tcPr>
          <w:p w:rsidR="00387DCD" w:rsidRDefault="00B6273F" w:rsidP="003334C9">
            <w:pPr>
              <w:tabs>
                <w:tab w:val="decimal" w:pos="733"/>
              </w:tabs>
              <w:rPr>
                <w:rFonts w:ascii="Arial" w:hAnsi="Arial" w:cs="Arial"/>
                <w:b/>
                <w:sz w:val="22"/>
              </w:rPr>
            </w:pPr>
            <w:r>
              <w:rPr>
                <w:rFonts w:ascii="Arial" w:hAnsi="Arial" w:cs="Arial"/>
                <w:b/>
                <w:sz w:val="22"/>
              </w:rPr>
              <w:t>77</w:t>
            </w:r>
          </w:p>
        </w:tc>
        <w:tc>
          <w:tcPr>
            <w:tcW w:w="1134" w:type="dxa"/>
          </w:tcPr>
          <w:p w:rsidR="00387DCD" w:rsidRDefault="00B6273F" w:rsidP="003334C9">
            <w:pPr>
              <w:tabs>
                <w:tab w:val="decimal" w:pos="497"/>
              </w:tabs>
              <w:rPr>
                <w:rFonts w:ascii="Arial" w:hAnsi="Arial" w:cs="Arial"/>
                <w:b/>
                <w:bCs/>
                <w:sz w:val="22"/>
              </w:rPr>
            </w:pPr>
            <w:r>
              <w:rPr>
                <w:rFonts w:ascii="Arial" w:hAnsi="Arial" w:cs="Arial"/>
                <w:b/>
                <w:bCs/>
                <w:sz w:val="22"/>
              </w:rPr>
              <w:t>3,28</w:t>
            </w:r>
          </w:p>
        </w:tc>
        <w:tc>
          <w:tcPr>
            <w:tcW w:w="1275" w:type="dxa"/>
          </w:tcPr>
          <w:p w:rsidR="00387DCD" w:rsidRDefault="00B6273F" w:rsidP="003334C9">
            <w:pPr>
              <w:tabs>
                <w:tab w:val="decimal" w:pos="497"/>
              </w:tabs>
              <w:rPr>
                <w:rFonts w:ascii="Arial" w:hAnsi="Arial" w:cs="Arial"/>
                <w:sz w:val="22"/>
              </w:rPr>
            </w:pPr>
            <w:r>
              <w:rPr>
                <w:rFonts w:ascii="Arial" w:hAnsi="Arial" w:cs="Arial"/>
                <w:sz w:val="22"/>
              </w:rPr>
              <w:t>3,71</w:t>
            </w:r>
          </w:p>
        </w:tc>
        <w:tc>
          <w:tcPr>
            <w:tcW w:w="1418" w:type="dxa"/>
          </w:tcPr>
          <w:p w:rsidR="00387DCD" w:rsidRDefault="00B6273F" w:rsidP="00D94724">
            <w:pPr>
              <w:tabs>
                <w:tab w:val="decimal" w:pos="781"/>
              </w:tabs>
              <w:rPr>
                <w:rFonts w:ascii="Arial" w:hAnsi="Arial" w:cs="Arial"/>
                <w:b/>
                <w:sz w:val="22"/>
              </w:rPr>
            </w:pPr>
            <w:r>
              <w:rPr>
                <w:rFonts w:ascii="Arial" w:hAnsi="Arial" w:cs="Arial"/>
                <w:b/>
                <w:sz w:val="22"/>
              </w:rPr>
              <w:t>89</w:t>
            </w:r>
          </w:p>
        </w:tc>
        <w:tc>
          <w:tcPr>
            <w:tcW w:w="2126" w:type="dxa"/>
          </w:tcPr>
          <w:p w:rsidR="00387DCD" w:rsidRDefault="00B6273F" w:rsidP="00962E14">
            <w:pPr>
              <w:tabs>
                <w:tab w:val="decimal" w:pos="1064"/>
              </w:tabs>
              <w:rPr>
                <w:rFonts w:ascii="Arial" w:hAnsi="Arial" w:cs="Arial"/>
                <w:bCs/>
                <w:sz w:val="20"/>
              </w:rPr>
            </w:pPr>
            <w:r>
              <w:rPr>
                <w:rFonts w:ascii="Arial" w:hAnsi="Arial" w:cs="Arial"/>
                <w:bCs/>
                <w:sz w:val="20"/>
              </w:rPr>
              <w:t>329,41</w:t>
            </w:r>
          </w:p>
        </w:tc>
      </w:tr>
      <w:tr w:rsidR="00387DCD">
        <w:tc>
          <w:tcPr>
            <w:tcW w:w="1985" w:type="dxa"/>
          </w:tcPr>
          <w:p w:rsidR="00387DCD" w:rsidRDefault="00387DCD">
            <w:pPr>
              <w:rPr>
                <w:rFonts w:ascii="Arial" w:hAnsi="Arial" w:cs="Arial"/>
                <w:sz w:val="22"/>
              </w:rPr>
            </w:pPr>
            <w:r>
              <w:rPr>
                <w:rFonts w:ascii="Arial" w:hAnsi="Arial" w:cs="Arial"/>
                <w:sz w:val="22"/>
              </w:rPr>
              <w:t>Kälber gesamt</w:t>
            </w:r>
          </w:p>
        </w:tc>
        <w:tc>
          <w:tcPr>
            <w:tcW w:w="1276" w:type="dxa"/>
          </w:tcPr>
          <w:p w:rsidR="00387DCD" w:rsidRDefault="00B6273F">
            <w:pPr>
              <w:tabs>
                <w:tab w:val="decimal" w:pos="733"/>
              </w:tabs>
              <w:rPr>
                <w:rFonts w:ascii="Arial" w:hAnsi="Arial" w:cs="Arial"/>
                <w:b/>
                <w:sz w:val="22"/>
              </w:rPr>
            </w:pPr>
            <w:r>
              <w:rPr>
                <w:rFonts w:ascii="Arial" w:hAnsi="Arial" w:cs="Arial"/>
                <w:b/>
                <w:sz w:val="22"/>
              </w:rPr>
              <w:t>446</w:t>
            </w:r>
          </w:p>
        </w:tc>
        <w:tc>
          <w:tcPr>
            <w:tcW w:w="1134" w:type="dxa"/>
          </w:tcPr>
          <w:p w:rsidR="00387DCD" w:rsidRDefault="00387DCD">
            <w:pPr>
              <w:tabs>
                <w:tab w:val="decimal" w:pos="733"/>
              </w:tabs>
              <w:rPr>
                <w:rFonts w:ascii="Arial" w:hAnsi="Arial" w:cs="Arial"/>
                <w:b/>
                <w:bCs/>
                <w:sz w:val="22"/>
              </w:rPr>
            </w:pPr>
          </w:p>
        </w:tc>
        <w:tc>
          <w:tcPr>
            <w:tcW w:w="1275" w:type="dxa"/>
          </w:tcPr>
          <w:p w:rsidR="00387DCD" w:rsidRDefault="00387DCD">
            <w:pPr>
              <w:tabs>
                <w:tab w:val="decimal" w:pos="733"/>
              </w:tabs>
              <w:rPr>
                <w:rFonts w:ascii="Arial" w:hAnsi="Arial" w:cs="Arial"/>
                <w:b/>
                <w:bCs/>
              </w:rPr>
            </w:pPr>
          </w:p>
        </w:tc>
        <w:tc>
          <w:tcPr>
            <w:tcW w:w="1418" w:type="dxa"/>
          </w:tcPr>
          <w:p w:rsidR="00387DCD" w:rsidRDefault="00387DCD">
            <w:pPr>
              <w:tabs>
                <w:tab w:val="decimal" w:pos="733"/>
              </w:tabs>
              <w:rPr>
                <w:rFonts w:ascii="Arial" w:hAnsi="Arial" w:cs="Arial"/>
                <w:b/>
              </w:rPr>
            </w:pPr>
          </w:p>
        </w:tc>
        <w:tc>
          <w:tcPr>
            <w:tcW w:w="2126" w:type="dxa"/>
          </w:tcPr>
          <w:p w:rsidR="00387DCD" w:rsidRDefault="00387DCD">
            <w:pPr>
              <w:tabs>
                <w:tab w:val="decimal" w:pos="733"/>
              </w:tabs>
              <w:rPr>
                <w:rFonts w:ascii="Arial" w:hAnsi="Arial" w:cs="Arial"/>
                <w:b/>
              </w:rPr>
            </w:pPr>
          </w:p>
        </w:tc>
      </w:tr>
    </w:tbl>
    <w:p w:rsidR="00125F67" w:rsidRPr="00360427" w:rsidRDefault="00125F67" w:rsidP="006473C2">
      <w:pPr>
        <w:jc w:val="both"/>
        <w:rPr>
          <w:rFonts w:ascii="Arial" w:hAnsi="Arial" w:cs="Arial"/>
          <w:b/>
          <w:bCs/>
          <w:sz w:val="8"/>
          <w:szCs w:val="8"/>
        </w:rPr>
      </w:pPr>
    </w:p>
    <w:p w:rsidR="00712F78" w:rsidRDefault="004D78A3" w:rsidP="006473C2">
      <w:pPr>
        <w:jc w:val="both"/>
        <w:rPr>
          <w:rFonts w:ascii="Arial" w:hAnsi="Arial" w:cs="Arial"/>
          <w:b/>
          <w:bCs/>
          <w:sz w:val="21"/>
          <w:szCs w:val="21"/>
        </w:rPr>
      </w:pPr>
      <w:bookmarkStart w:id="0" w:name="_GoBack"/>
      <w:r>
        <w:rPr>
          <w:rFonts w:ascii="Arial" w:hAnsi="Arial" w:cs="Arial"/>
          <w:b/>
          <w:bCs/>
          <w:sz w:val="21"/>
          <w:szCs w:val="21"/>
        </w:rPr>
        <w:t xml:space="preserve">Die </w:t>
      </w:r>
      <w:r w:rsidR="00360427">
        <w:rPr>
          <w:rFonts w:ascii="Arial" w:hAnsi="Arial" w:cs="Arial"/>
          <w:b/>
          <w:bCs/>
          <w:sz w:val="21"/>
          <w:szCs w:val="21"/>
        </w:rPr>
        <w:t>letzte</w:t>
      </w:r>
      <w:r>
        <w:rPr>
          <w:rFonts w:ascii="Arial" w:hAnsi="Arial" w:cs="Arial"/>
          <w:b/>
          <w:bCs/>
          <w:sz w:val="21"/>
          <w:szCs w:val="21"/>
        </w:rPr>
        <w:t xml:space="preserve"> Kälberversteigerung</w:t>
      </w:r>
      <w:r w:rsidR="00360427">
        <w:rPr>
          <w:rFonts w:ascii="Arial" w:hAnsi="Arial" w:cs="Arial"/>
          <w:b/>
          <w:bCs/>
          <w:sz w:val="21"/>
          <w:szCs w:val="21"/>
        </w:rPr>
        <w:t xml:space="preserve"> des heurigen Jahres</w:t>
      </w:r>
      <w:r>
        <w:rPr>
          <w:rFonts w:ascii="Arial" w:hAnsi="Arial" w:cs="Arial"/>
          <w:b/>
          <w:bCs/>
          <w:sz w:val="21"/>
          <w:szCs w:val="21"/>
        </w:rPr>
        <w:t xml:space="preserve"> finde</w:t>
      </w:r>
      <w:r w:rsidR="00360427">
        <w:rPr>
          <w:rFonts w:ascii="Arial" w:hAnsi="Arial" w:cs="Arial"/>
          <w:b/>
          <w:bCs/>
          <w:sz w:val="21"/>
          <w:szCs w:val="21"/>
        </w:rPr>
        <w:t>t</w:t>
      </w:r>
      <w:r w:rsidR="0099794B">
        <w:rPr>
          <w:rFonts w:ascii="Arial" w:hAnsi="Arial" w:cs="Arial"/>
          <w:b/>
          <w:bCs/>
          <w:sz w:val="21"/>
          <w:szCs w:val="21"/>
        </w:rPr>
        <w:t xml:space="preserve"> </w:t>
      </w:r>
      <w:r>
        <w:rPr>
          <w:rFonts w:ascii="Arial" w:hAnsi="Arial" w:cs="Arial"/>
          <w:b/>
          <w:bCs/>
          <w:sz w:val="21"/>
          <w:szCs w:val="21"/>
        </w:rPr>
        <w:t xml:space="preserve">am Montag </w:t>
      </w:r>
      <w:r w:rsidR="00360427">
        <w:rPr>
          <w:rFonts w:ascii="Arial" w:hAnsi="Arial" w:cs="Arial"/>
          <w:b/>
          <w:bCs/>
          <w:sz w:val="21"/>
          <w:szCs w:val="21"/>
        </w:rPr>
        <w:t>18. Dezember statt.</w:t>
      </w:r>
      <w:r w:rsidR="0022511C">
        <w:rPr>
          <w:rFonts w:ascii="Arial" w:hAnsi="Arial" w:cs="Arial"/>
          <w:b/>
          <w:bCs/>
          <w:sz w:val="21"/>
          <w:szCs w:val="21"/>
        </w:rPr>
        <w:t xml:space="preserve"> </w:t>
      </w:r>
      <w:r w:rsidR="00360427">
        <w:rPr>
          <w:rFonts w:ascii="Arial" w:hAnsi="Arial" w:cs="Arial"/>
          <w:b/>
          <w:bCs/>
          <w:sz w:val="21"/>
          <w:szCs w:val="21"/>
        </w:rPr>
        <w:t>Die erste Kälberversteigerung im Jahr 2018 findet am 08. Jänner statt. Wir bedanken uns bei allen Käufern und Verkäufern für die gute Zusammenarbeit und wünschen frohe Feiertage und ein gutes, neues Jahr 2018.</w:t>
      </w:r>
    </w:p>
    <w:bookmarkEnd w:id="0"/>
    <w:p w:rsidR="002D35F3" w:rsidRDefault="002D35F3" w:rsidP="006473C2">
      <w:pPr>
        <w:jc w:val="both"/>
        <w:rPr>
          <w:rFonts w:ascii="Arial" w:hAnsi="Arial" w:cs="Arial"/>
          <w:b/>
          <w:bCs/>
          <w:sz w:val="21"/>
          <w:szCs w:val="21"/>
        </w:rPr>
      </w:pPr>
    </w:p>
    <w:p w:rsidR="00EB153A" w:rsidRPr="006473C2" w:rsidRDefault="00EB153A" w:rsidP="008A31D6">
      <w:pPr>
        <w:textAlignment w:val="auto"/>
        <w:rPr>
          <w:rFonts w:ascii="Arial" w:hAnsi="Arial" w:cs="Arial"/>
          <w:sz w:val="6"/>
          <w:szCs w:val="6"/>
        </w:rPr>
      </w:pPr>
    </w:p>
    <w:p w:rsidR="00387DCD" w:rsidRPr="00F32759" w:rsidRDefault="00722685">
      <w:pPr>
        <w:jc w:val="right"/>
        <w:rPr>
          <w:rFonts w:ascii="Arial" w:hAnsi="Arial" w:cs="Arial"/>
          <w:i/>
          <w:sz w:val="18"/>
          <w:szCs w:val="18"/>
          <w:lang w:val="it-IT"/>
        </w:rPr>
      </w:pPr>
      <w:r w:rsidRPr="00F32759">
        <w:rPr>
          <w:rFonts w:ascii="Arial" w:hAnsi="Arial" w:cs="Arial"/>
          <w:i/>
          <w:sz w:val="18"/>
          <w:szCs w:val="18"/>
          <w:lang w:val="de-DE"/>
        </w:rPr>
        <w:t>Franz Gstöttinger</w:t>
      </w:r>
    </w:p>
    <w:p w:rsidR="00387DCD" w:rsidRDefault="00387DCD">
      <w:pPr>
        <w:jc w:val="both"/>
        <w:rPr>
          <w:rFonts w:ascii="Arial" w:hAnsi="Arial" w:cs="Arial"/>
          <w:sz w:val="20"/>
          <w:lang w:val="it-IT"/>
        </w:rPr>
      </w:pPr>
    </w:p>
    <w:p w:rsidR="00387DCD" w:rsidRDefault="00BE31D0">
      <w:pPr>
        <w:rPr>
          <w:rFonts w:ascii="Trebuchet MS" w:hAnsi="Trebuchet MS"/>
          <w:sz w:val="20"/>
        </w:rPr>
      </w:pPr>
      <w:r>
        <w:rPr>
          <w:rFonts w:ascii="Trebuchet MS" w:hAnsi="Trebuchet MS"/>
          <w:noProof/>
          <w:sz w:val="20"/>
          <w:lang w:eastAsia="de-AT"/>
        </w:rPr>
        <w:drawing>
          <wp:inline distT="0" distB="0" distL="0" distR="0">
            <wp:extent cx="6391275" cy="1971675"/>
            <wp:effectExtent l="0" t="0" r="0" b="0"/>
            <wp:docPr id="1" name="Objekt 1" descr="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7DCD" w:rsidRDefault="00387DCD">
      <w:pPr>
        <w:rPr>
          <w:rFonts w:ascii="Trebuchet MS" w:hAnsi="Trebuchet MS"/>
          <w:sz w:val="20"/>
        </w:rPr>
      </w:pPr>
    </w:p>
    <w:tbl>
      <w:tblPr>
        <w:tblW w:w="0" w:type="auto"/>
        <w:tblInd w:w="1063" w:type="dxa"/>
        <w:tblCellMar>
          <w:left w:w="70" w:type="dxa"/>
          <w:right w:w="70" w:type="dxa"/>
        </w:tblCellMar>
        <w:tblLook w:val="0000" w:firstRow="0" w:lastRow="0" w:firstColumn="0" w:lastColumn="0" w:noHBand="0" w:noVBand="0"/>
      </w:tblPr>
      <w:tblGrid>
        <w:gridCol w:w="1559"/>
        <w:gridCol w:w="1701"/>
        <w:gridCol w:w="1843"/>
      </w:tblGrid>
      <w:tr w:rsidR="00387DCD">
        <w:trPr>
          <w:cantSplit/>
        </w:trPr>
        <w:tc>
          <w:tcPr>
            <w:tcW w:w="1559" w:type="dxa"/>
            <w:tcBorders>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387DCD" w:rsidRDefault="00387DCD" w:rsidP="00202F35">
            <w:pPr>
              <w:rPr>
                <w:rFonts w:ascii="Arial" w:hAnsi="Arial" w:cs="Arial"/>
                <w:sz w:val="20"/>
              </w:rPr>
            </w:pPr>
            <w:r>
              <w:rPr>
                <w:rFonts w:ascii="Arial" w:hAnsi="Arial" w:cs="Arial"/>
                <w:sz w:val="20"/>
              </w:rPr>
              <w:sym w:font="Symbol" w:char="F0C6"/>
            </w:r>
            <w:r>
              <w:rPr>
                <w:rFonts w:ascii="Arial" w:hAnsi="Arial" w:cs="Arial"/>
                <w:sz w:val="20"/>
              </w:rPr>
              <w:t xml:space="preserve"> Preis </w:t>
            </w:r>
            <w:r w:rsidR="00190213">
              <w:rPr>
                <w:rFonts w:ascii="Arial" w:hAnsi="Arial" w:cs="Arial"/>
                <w:sz w:val="20"/>
              </w:rPr>
              <w:t>201</w:t>
            </w:r>
            <w:r w:rsidR="00202F35">
              <w:rPr>
                <w:rFonts w:ascii="Arial" w:hAnsi="Arial" w:cs="Arial"/>
                <w:sz w:val="20"/>
              </w:rPr>
              <w:t>6/17</w:t>
            </w:r>
          </w:p>
        </w:tc>
      </w:tr>
      <w:tr w:rsidR="00360427" w:rsidTr="00B14DB8">
        <w:trPr>
          <w:cantSplit/>
          <w:trHeight w:val="266"/>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Juli</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11 (11) </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1.991 (1.709)</w:t>
            </w:r>
          </w:p>
        </w:tc>
      </w:tr>
      <w:tr w:rsidR="00360427">
        <w:trPr>
          <w:cantSplit/>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14 (16) </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1.910 (1.566)</w:t>
            </w:r>
          </w:p>
        </w:tc>
      </w:tr>
      <w:tr w:rsidR="00360427">
        <w:trPr>
          <w:cantSplit/>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22 (21) </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2.035 (1.790)</w:t>
            </w:r>
          </w:p>
        </w:tc>
      </w:tr>
      <w:tr w:rsidR="00FA1F9E" w:rsidTr="000B4BBF">
        <w:trPr>
          <w:cantSplit/>
          <w:trHeight w:val="74"/>
        </w:trPr>
        <w:tc>
          <w:tcPr>
            <w:tcW w:w="1559" w:type="dxa"/>
            <w:tcBorders>
              <w:right w:val="single" w:sz="4" w:space="0" w:color="auto"/>
            </w:tcBorders>
            <w:vAlign w:val="bottom"/>
          </w:tcPr>
          <w:p w:rsidR="00FA1F9E" w:rsidRDefault="00360427" w:rsidP="0068056B">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FA1F9E" w:rsidRDefault="003D7B37" w:rsidP="00360427">
            <w:pPr>
              <w:rPr>
                <w:rFonts w:ascii="Arial" w:hAnsi="Arial" w:cs="Arial"/>
                <w:sz w:val="20"/>
              </w:rPr>
            </w:pPr>
            <w:r>
              <w:rPr>
                <w:rFonts w:ascii="Arial" w:hAnsi="Arial" w:cs="Arial"/>
                <w:sz w:val="20"/>
              </w:rPr>
              <w:t>2</w:t>
            </w:r>
            <w:r w:rsidR="00360427">
              <w:rPr>
                <w:rFonts w:ascii="Arial" w:hAnsi="Arial" w:cs="Arial"/>
                <w:sz w:val="20"/>
              </w:rPr>
              <w:t>0</w:t>
            </w:r>
            <w:r w:rsidR="002D25C6">
              <w:rPr>
                <w:rFonts w:ascii="Arial" w:hAnsi="Arial" w:cs="Arial"/>
                <w:sz w:val="20"/>
              </w:rPr>
              <w:t xml:space="preserve"> (</w:t>
            </w:r>
            <w:r w:rsidR="00360427">
              <w:rPr>
                <w:rFonts w:ascii="Arial" w:hAnsi="Arial" w:cs="Arial"/>
                <w:sz w:val="20"/>
              </w:rPr>
              <w:t>3</w:t>
            </w:r>
            <w:r w:rsidR="004F408C">
              <w:rPr>
                <w:rFonts w:ascii="Arial" w:hAnsi="Arial" w:cs="Arial"/>
                <w:sz w:val="20"/>
              </w:rPr>
              <w:t>1</w:t>
            </w:r>
            <w:r w:rsidR="002D25C6">
              <w:rPr>
                <w:rFonts w:ascii="Arial" w:hAnsi="Arial" w:cs="Arial"/>
                <w:sz w:val="20"/>
              </w:rPr>
              <w:t>)</w:t>
            </w:r>
            <w:r w:rsidR="008A31D6">
              <w:rPr>
                <w:rFonts w:ascii="Arial" w:hAnsi="Arial" w:cs="Arial"/>
                <w:sz w:val="20"/>
              </w:rPr>
              <w:t xml:space="preserve"> </w:t>
            </w:r>
          </w:p>
        </w:tc>
        <w:tc>
          <w:tcPr>
            <w:tcW w:w="1843" w:type="dxa"/>
            <w:tcBorders>
              <w:left w:val="single" w:sz="4" w:space="0" w:color="auto"/>
              <w:right w:val="single" w:sz="4" w:space="0" w:color="auto"/>
            </w:tcBorders>
            <w:vAlign w:val="bottom"/>
          </w:tcPr>
          <w:p w:rsidR="00FA1F9E" w:rsidRDefault="003D7B37" w:rsidP="00360427">
            <w:pPr>
              <w:rPr>
                <w:rFonts w:ascii="Arial" w:hAnsi="Arial" w:cs="Arial"/>
                <w:sz w:val="20"/>
              </w:rPr>
            </w:pPr>
            <w:r>
              <w:rPr>
                <w:rFonts w:ascii="Arial" w:hAnsi="Arial" w:cs="Arial"/>
                <w:sz w:val="20"/>
              </w:rPr>
              <w:t>2.0</w:t>
            </w:r>
            <w:r w:rsidR="00360427">
              <w:rPr>
                <w:rFonts w:ascii="Arial" w:hAnsi="Arial" w:cs="Arial"/>
                <w:sz w:val="20"/>
              </w:rPr>
              <w:t>23</w:t>
            </w:r>
            <w:r w:rsidR="00EE3292">
              <w:rPr>
                <w:rFonts w:ascii="Arial" w:hAnsi="Arial" w:cs="Arial"/>
                <w:sz w:val="20"/>
              </w:rPr>
              <w:t xml:space="preserve"> </w:t>
            </w:r>
            <w:r w:rsidR="002D25C6">
              <w:rPr>
                <w:rFonts w:ascii="Arial" w:hAnsi="Arial" w:cs="Arial"/>
                <w:sz w:val="20"/>
              </w:rPr>
              <w:t>(</w:t>
            </w:r>
            <w:r w:rsidR="00081909">
              <w:rPr>
                <w:rFonts w:ascii="Arial" w:hAnsi="Arial" w:cs="Arial"/>
                <w:sz w:val="20"/>
              </w:rPr>
              <w:t>1.</w:t>
            </w:r>
            <w:r w:rsidR="00360427">
              <w:rPr>
                <w:rFonts w:ascii="Arial" w:hAnsi="Arial" w:cs="Arial"/>
                <w:sz w:val="20"/>
              </w:rPr>
              <w:t>945</w:t>
            </w:r>
            <w:r w:rsidR="002D25C6">
              <w:rPr>
                <w:rFonts w:ascii="Arial" w:hAnsi="Arial" w:cs="Arial"/>
                <w:sz w:val="20"/>
              </w:rPr>
              <w:t>)</w:t>
            </w:r>
          </w:p>
        </w:tc>
      </w:tr>
    </w:tbl>
    <w:p w:rsidR="00387DCD" w:rsidRDefault="00387DCD">
      <w:pPr>
        <w:rPr>
          <w:rFonts w:ascii="Arial" w:hAnsi="Arial" w:cs="Arial"/>
          <w:sz w:val="20"/>
        </w:rPr>
      </w:pPr>
    </w:p>
    <w:p w:rsidR="00387DCD" w:rsidRDefault="00387DCD">
      <w:pPr>
        <w:rPr>
          <w:rFonts w:ascii="Arial" w:hAnsi="Arial" w:cs="Arial"/>
          <w:sz w:val="20"/>
        </w:rPr>
      </w:pPr>
    </w:p>
    <w:p w:rsidR="00387DCD" w:rsidRDefault="00BE31D0">
      <w:pPr>
        <w:rPr>
          <w:rFonts w:ascii="Trebuchet MS" w:hAnsi="Trebuchet MS"/>
          <w:sz w:val="20"/>
        </w:rPr>
      </w:pPr>
      <w:r>
        <w:rPr>
          <w:rFonts w:ascii="Trebuchet MS" w:hAnsi="Trebuchet MS"/>
          <w:noProof/>
          <w:sz w:val="20"/>
          <w:lang w:eastAsia="de-AT"/>
        </w:rPr>
        <w:drawing>
          <wp:inline distT="0" distB="0" distL="0" distR="0">
            <wp:extent cx="6324600" cy="2019300"/>
            <wp:effectExtent l="0" t="0" r="0" b="0"/>
            <wp:docPr id="2" name="Objekt 2" descr="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7DCD" w:rsidRDefault="00387DCD">
      <w:pPr>
        <w:rPr>
          <w:rFonts w:ascii="Trebuchet MS" w:hAnsi="Trebuchet MS"/>
          <w:sz w:val="20"/>
        </w:rPr>
      </w:pPr>
    </w:p>
    <w:tbl>
      <w:tblPr>
        <w:tblW w:w="0" w:type="auto"/>
        <w:tblInd w:w="1063" w:type="dxa"/>
        <w:tblCellMar>
          <w:left w:w="70" w:type="dxa"/>
          <w:right w:w="70" w:type="dxa"/>
        </w:tblCellMar>
        <w:tblLook w:val="0000" w:firstRow="0" w:lastRow="0" w:firstColumn="0" w:lastColumn="0" w:noHBand="0" w:noVBand="0"/>
      </w:tblPr>
      <w:tblGrid>
        <w:gridCol w:w="1559"/>
        <w:gridCol w:w="1701"/>
        <w:gridCol w:w="1843"/>
      </w:tblGrid>
      <w:tr w:rsidR="00387DCD">
        <w:trPr>
          <w:cantSplit/>
        </w:trPr>
        <w:tc>
          <w:tcPr>
            <w:tcW w:w="1559" w:type="dxa"/>
            <w:tcBorders>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387DCD" w:rsidRDefault="00387DCD">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387DCD" w:rsidRDefault="00AE5D55"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sidR="00B21783">
              <w:rPr>
                <w:rFonts w:ascii="Arial" w:hAnsi="Arial" w:cs="Arial"/>
                <w:sz w:val="20"/>
              </w:rPr>
              <w:t>/1</w:t>
            </w:r>
            <w:r w:rsidR="00202F35">
              <w:rPr>
                <w:rFonts w:ascii="Arial" w:hAnsi="Arial" w:cs="Arial"/>
                <w:sz w:val="20"/>
              </w:rPr>
              <w:t>7</w:t>
            </w:r>
          </w:p>
        </w:tc>
      </w:tr>
      <w:tr w:rsidR="00360427">
        <w:trPr>
          <w:cantSplit/>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Juli</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55  </w:t>
            </w:r>
            <w:proofErr w:type="gramStart"/>
            <w:r>
              <w:rPr>
                <w:rFonts w:ascii="Arial" w:hAnsi="Arial" w:cs="Arial"/>
                <w:sz w:val="20"/>
              </w:rPr>
              <w:t xml:space="preserve">   (</w:t>
            </w:r>
            <w:proofErr w:type="gramEnd"/>
            <w:r>
              <w:rPr>
                <w:rFonts w:ascii="Arial" w:hAnsi="Arial" w:cs="Arial"/>
                <w:sz w:val="20"/>
              </w:rPr>
              <w:t>26)</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2.247 (1.928) </w:t>
            </w:r>
          </w:p>
        </w:tc>
      </w:tr>
      <w:tr w:rsidR="00360427">
        <w:trPr>
          <w:cantSplit/>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54  </w:t>
            </w:r>
            <w:proofErr w:type="gramStart"/>
            <w:r>
              <w:rPr>
                <w:rFonts w:ascii="Arial" w:hAnsi="Arial" w:cs="Arial"/>
                <w:sz w:val="20"/>
              </w:rPr>
              <w:t xml:space="preserve">   (</w:t>
            </w:r>
            <w:proofErr w:type="gramEnd"/>
            <w:r>
              <w:rPr>
                <w:rFonts w:ascii="Arial" w:hAnsi="Arial" w:cs="Arial"/>
                <w:sz w:val="20"/>
              </w:rPr>
              <w:t>27)</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2.133 (1.917) </w:t>
            </w:r>
          </w:p>
        </w:tc>
      </w:tr>
      <w:tr w:rsidR="00360427">
        <w:trPr>
          <w:cantSplit/>
        </w:trPr>
        <w:tc>
          <w:tcPr>
            <w:tcW w:w="1559"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59  </w:t>
            </w:r>
            <w:proofErr w:type="gramStart"/>
            <w:r>
              <w:rPr>
                <w:rFonts w:ascii="Arial" w:hAnsi="Arial" w:cs="Arial"/>
                <w:sz w:val="20"/>
              </w:rPr>
              <w:t xml:space="preserve">   (</w:t>
            </w:r>
            <w:proofErr w:type="gramEnd"/>
            <w:r>
              <w:rPr>
                <w:rFonts w:ascii="Arial" w:hAnsi="Arial" w:cs="Arial"/>
                <w:sz w:val="20"/>
              </w:rPr>
              <w:t>35)</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 xml:space="preserve">1.959 (1.889) </w:t>
            </w:r>
          </w:p>
        </w:tc>
      </w:tr>
      <w:tr w:rsidR="00432AB8">
        <w:trPr>
          <w:cantSplit/>
        </w:trPr>
        <w:tc>
          <w:tcPr>
            <w:tcW w:w="1559" w:type="dxa"/>
            <w:tcBorders>
              <w:right w:val="single" w:sz="4" w:space="0" w:color="auto"/>
            </w:tcBorders>
            <w:vAlign w:val="bottom"/>
          </w:tcPr>
          <w:p w:rsidR="00432AB8" w:rsidRDefault="00360427" w:rsidP="000475AB">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432AB8" w:rsidRDefault="00360427" w:rsidP="00360427">
            <w:pPr>
              <w:rPr>
                <w:rFonts w:ascii="Arial" w:hAnsi="Arial" w:cs="Arial"/>
                <w:sz w:val="20"/>
              </w:rPr>
            </w:pPr>
            <w:r>
              <w:rPr>
                <w:rFonts w:ascii="Arial" w:hAnsi="Arial" w:cs="Arial"/>
                <w:sz w:val="20"/>
              </w:rPr>
              <w:t>43</w:t>
            </w:r>
            <w:r w:rsidR="00432AB8">
              <w:rPr>
                <w:rFonts w:ascii="Arial" w:hAnsi="Arial" w:cs="Arial"/>
                <w:sz w:val="20"/>
              </w:rPr>
              <w:t xml:space="preserve">  </w:t>
            </w:r>
            <w:proofErr w:type="gramStart"/>
            <w:r w:rsidR="00432AB8">
              <w:rPr>
                <w:rFonts w:ascii="Arial" w:hAnsi="Arial" w:cs="Arial"/>
                <w:sz w:val="20"/>
              </w:rPr>
              <w:t xml:space="preserve">   (</w:t>
            </w:r>
            <w:proofErr w:type="gramEnd"/>
            <w:r w:rsidR="004F408C">
              <w:rPr>
                <w:rFonts w:ascii="Arial" w:hAnsi="Arial" w:cs="Arial"/>
                <w:sz w:val="20"/>
              </w:rPr>
              <w:t>3</w:t>
            </w:r>
            <w:r>
              <w:rPr>
                <w:rFonts w:ascii="Arial" w:hAnsi="Arial" w:cs="Arial"/>
                <w:sz w:val="20"/>
              </w:rPr>
              <w:t>3</w:t>
            </w:r>
            <w:r w:rsidR="00EE3292">
              <w:rPr>
                <w:rFonts w:ascii="Arial" w:hAnsi="Arial" w:cs="Arial"/>
                <w:sz w:val="20"/>
              </w:rPr>
              <w:t>)</w:t>
            </w:r>
          </w:p>
        </w:tc>
        <w:tc>
          <w:tcPr>
            <w:tcW w:w="1843" w:type="dxa"/>
            <w:tcBorders>
              <w:left w:val="single" w:sz="4" w:space="0" w:color="auto"/>
              <w:right w:val="single" w:sz="4" w:space="0" w:color="auto"/>
            </w:tcBorders>
            <w:vAlign w:val="bottom"/>
          </w:tcPr>
          <w:p w:rsidR="00432AB8" w:rsidRDefault="004F408C" w:rsidP="00360427">
            <w:pPr>
              <w:rPr>
                <w:rFonts w:ascii="Arial" w:hAnsi="Arial" w:cs="Arial"/>
                <w:sz w:val="20"/>
              </w:rPr>
            </w:pPr>
            <w:r>
              <w:rPr>
                <w:rFonts w:ascii="Arial" w:hAnsi="Arial" w:cs="Arial"/>
                <w:sz w:val="20"/>
              </w:rPr>
              <w:t>1.</w:t>
            </w:r>
            <w:r w:rsidR="00360427">
              <w:rPr>
                <w:rFonts w:ascii="Arial" w:hAnsi="Arial" w:cs="Arial"/>
                <w:sz w:val="20"/>
              </w:rPr>
              <w:t>842</w:t>
            </w:r>
            <w:r w:rsidR="00432AB8">
              <w:rPr>
                <w:rFonts w:ascii="Arial" w:hAnsi="Arial" w:cs="Arial"/>
                <w:sz w:val="20"/>
              </w:rPr>
              <w:t xml:space="preserve"> (</w:t>
            </w:r>
            <w:r w:rsidR="00360427">
              <w:rPr>
                <w:rFonts w:ascii="Arial" w:hAnsi="Arial" w:cs="Arial"/>
                <w:sz w:val="20"/>
              </w:rPr>
              <w:t>2.124</w:t>
            </w:r>
            <w:r w:rsidR="00432AB8">
              <w:rPr>
                <w:rFonts w:ascii="Arial" w:hAnsi="Arial" w:cs="Arial"/>
                <w:sz w:val="20"/>
              </w:rPr>
              <w:t xml:space="preserve">) </w:t>
            </w:r>
          </w:p>
        </w:tc>
      </w:tr>
    </w:tbl>
    <w:p w:rsidR="00387DCD" w:rsidRDefault="00387DCD">
      <w:pPr>
        <w:rPr>
          <w:rFonts w:ascii="Trebuchet MS" w:hAnsi="Trebuchet MS"/>
          <w:sz w:val="20"/>
        </w:rPr>
      </w:pPr>
    </w:p>
    <w:p w:rsidR="00387DCD" w:rsidRDefault="00387DCD">
      <w:pPr>
        <w:rPr>
          <w:rFonts w:ascii="Arial" w:hAnsi="Arial" w:cs="Arial"/>
          <w:sz w:val="20"/>
        </w:rPr>
      </w:pPr>
    </w:p>
    <w:p w:rsidR="007541C9" w:rsidRDefault="00BE31D0" w:rsidP="007541C9">
      <w:pPr>
        <w:rPr>
          <w:rFonts w:ascii="Trebuchet MS" w:hAnsi="Trebuchet MS"/>
          <w:sz w:val="20"/>
        </w:rPr>
      </w:pPr>
      <w:r>
        <w:rPr>
          <w:rFonts w:ascii="Trebuchet MS" w:hAnsi="Trebuchet MS"/>
          <w:noProof/>
          <w:sz w:val="20"/>
          <w:lang w:eastAsia="de-AT"/>
        </w:rPr>
        <w:drawing>
          <wp:inline distT="0" distB="0" distL="0" distR="0">
            <wp:extent cx="5715000" cy="232410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41C9" w:rsidRDefault="007541C9" w:rsidP="007541C9">
      <w:pPr>
        <w:rPr>
          <w:rFonts w:ascii="Arial" w:hAnsi="Arial" w:cs="Arial"/>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0B4BBF" w:rsidTr="007541C9">
        <w:trPr>
          <w:cantSplit/>
        </w:trPr>
        <w:tc>
          <w:tcPr>
            <w:tcW w:w="1417" w:type="dxa"/>
            <w:tcBorders>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0B4BBF" w:rsidRDefault="000B4BBF"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0B4BBF" w:rsidRDefault="000B4BBF" w:rsidP="00F00178">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100 (68)</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4,94 (4,77)</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104 (100)</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84 (34)</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5,40 (4,23)</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100 (100)</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47 (61)</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4,99 (4,80)</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103 (102)</w:t>
            </w:r>
          </w:p>
        </w:tc>
      </w:tr>
      <w:tr w:rsidR="004F408C" w:rsidTr="007541C9">
        <w:trPr>
          <w:cantSplit/>
        </w:trPr>
        <w:tc>
          <w:tcPr>
            <w:tcW w:w="1417" w:type="dxa"/>
            <w:tcBorders>
              <w:right w:val="single" w:sz="4" w:space="0" w:color="auto"/>
            </w:tcBorders>
            <w:vAlign w:val="bottom"/>
          </w:tcPr>
          <w:p w:rsidR="004F408C" w:rsidRDefault="00360427" w:rsidP="004F408C">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4F408C" w:rsidRDefault="00360427" w:rsidP="00360427">
            <w:pPr>
              <w:rPr>
                <w:rFonts w:ascii="Arial" w:hAnsi="Arial" w:cs="Arial"/>
                <w:sz w:val="20"/>
              </w:rPr>
            </w:pPr>
            <w:r>
              <w:rPr>
                <w:rFonts w:ascii="Arial" w:hAnsi="Arial" w:cs="Arial"/>
                <w:sz w:val="20"/>
              </w:rPr>
              <w:t>42</w:t>
            </w:r>
            <w:r w:rsidR="004F408C">
              <w:rPr>
                <w:rFonts w:ascii="Arial" w:hAnsi="Arial" w:cs="Arial"/>
                <w:sz w:val="20"/>
              </w:rPr>
              <w:t xml:space="preserve"> (</w:t>
            </w:r>
            <w:r>
              <w:rPr>
                <w:rFonts w:ascii="Arial" w:hAnsi="Arial" w:cs="Arial"/>
                <w:sz w:val="20"/>
              </w:rPr>
              <w:t>21</w:t>
            </w:r>
            <w:r w:rsidR="004F408C">
              <w:rPr>
                <w:rFonts w:ascii="Arial" w:hAnsi="Arial" w:cs="Arial"/>
                <w:sz w:val="20"/>
              </w:rPr>
              <w:t>)</w:t>
            </w:r>
          </w:p>
        </w:tc>
        <w:tc>
          <w:tcPr>
            <w:tcW w:w="1843" w:type="dxa"/>
            <w:tcBorders>
              <w:left w:val="single" w:sz="4" w:space="0" w:color="auto"/>
              <w:right w:val="single" w:sz="4" w:space="0" w:color="auto"/>
            </w:tcBorders>
            <w:vAlign w:val="bottom"/>
          </w:tcPr>
          <w:p w:rsidR="004F408C" w:rsidRDefault="004F408C" w:rsidP="00360427">
            <w:pPr>
              <w:rPr>
                <w:rFonts w:ascii="Arial" w:hAnsi="Arial" w:cs="Arial"/>
                <w:sz w:val="20"/>
              </w:rPr>
            </w:pPr>
            <w:r>
              <w:rPr>
                <w:rFonts w:ascii="Arial" w:hAnsi="Arial" w:cs="Arial"/>
                <w:sz w:val="20"/>
              </w:rPr>
              <w:t>5,</w:t>
            </w:r>
            <w:r w:rsidR="00360427">
              <w:rPr>
                <w:rFonts w:ascii="Arial" w:hAnsi="Arial" w:cs="Arial"/>
                <w:sz w:val="20"/>
              </w:rPr>
              <w:t>14</w:t>
            </w:r>
            <w:r>
              <w:rPr>
                <w:rFonts w:ascii="Arial" w:hAnsi="Arial" w:cs="Arial"/>
                <w:sz w:val="20"/>
              </w:rPr>
              <w:t xml:space="preserve"> (4,</w:t>
            </w:r>
            <w:r w:rsidR="00360427">
              <w:rPr>
                <w:rFonts w:ascii="Arial" w:hAnsi="Arial" w:cs="Arial"/>
                <w:sz w:val="20"/>
              </w:rPr>
              <w:t>52</w:t>
            </w:r>
            <w:r>
              <w:rPr>
                <w:rFonts w:ascii="Arial" w:hAnsi="Arial" w:cs="Arial"/>
                <w:sz w:val="20"/>
              </w:rPr>
              <w:t>)</w:t>
            </w:r>
          </w:p>
        </w:tc>
        <w:tc>
          <w:tcPr>
            <w:tcW w:w="1559" w:type="dxa"/>
            <w:tcBorders>
              <w:left w:val="single" w:sz="4" w:space="0" w:color="auto"/>
            </w:tcBorders>
            <w:vAlign w:val="bottom"/>
          </w:tcPr>
          <w:p w:rsidR="004F408C" w:rsidRDefault="004F408C" w:rsidP="00360427">
            <w:pPr>
              <w:rPr>
                <w:rFonts w:ascii="Arial" w:hAnsi="Arial" w:cs="Arial"/>
                <w:sz w:val="20"/>
              </w:rPr>
            </w:pPr>
            <w:r>
              <w:rPr>
                <w:rFonts w:ascii="Arial" w:hAnsi="Arial" w:cs="Arial"/>
                <w:sz w:val="20"/>
              </w:rPr>
              <w:t>10</w:t>
            </w:r>
            <w:r w:rsidR="00360427">
              <w:rPr>
                <w:rFonts w:ascii="Arial" w:hAnsi="Arial" w:cs="Arial"/>
                <w:sz w:val="20"/>
              </w:rPr>
              <w:t>1</w:t>
            </w:r>
            <w:r>
              <w:rPr>
                <w:rFonts w:ascii="Arial" w:hAnsi="Arial" w:cs="Arial"/>
                <w:sz w:val="20"/>
              </w:rPr>
              <w:t xml:space="preserve"> (</w:t>
            </w:r>
            <w:r w:rsidR="00360427">
              <w:rPr>
                <w:rFonts w:ascii="Arial" w:hAnsi="Arial" w:cs="Arial"/>
                <w:sz w:val="20"/>
              </w:rPr>
              <w:t>95</w:t>
            </w:r>
            <w:r>
              <w:rPr>
                <w:rFonts w:ascii="Arial" w:hAnsi="Arial" w:cs="Arial"/>
                <w:sz w:val="20"/>
              </w:rPr>
              <w:t>)</w:t>
            </w:r>
          </w:p>
        </w:tc>
      </w:tr>
    </w:tbl>
    <w:p w:rsidR="00387DCD" w:rsidRDefault="00387DCD">
      <w:pPr>
        <w:rPr>
          <w:rFonts w:ascii="Arial" w:hAnsi="Arial" w:cs="Arial"/>
          <w:sz w:val="20"/>
        </w:rPr>
      </w:pPr>
    </w:p>
    <w:p w:rsidR="00387DCD" w:rsidRDefault="00387DCD">
      <w:pPr>
        <w:rPr>
          <w:lang w:val="de-DE"/>
        </w:rPr>
      </w:pPr>
    </w:p>
    <w:p w:rsidR="007541C9" w:rsidRDefault="00BE31D0" w:rsidP="007541C9">
      <w:pPr>
        <w:rPr>
          <w:rFonts w:ascii="Trebuchet MS" w:hAnsi="Trebuchet MS"/>
          <w:sz w:val="20"/>
        </w:rPr>
      </w:pPr>
      <w:r>
        <w:rPr>
          <w:rFonts w:ascii="Trebuchet MS" w:hAnsi="Trebuchet MS"/>
          <w:noProof/>
          <w:sz w:val="20"/>
          <w:lang w:eastAsia="de-AT"/>
        </w:rPr>
        <w:lastRenderedPageBreak/>
        <w:drawing>
          <wp:inline distT="0" distB="0" distL="0" distR="0">
            <wp:extent cx="5619750" cy="23241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41C9" w:rsidRDefault="007541C9" w:rsidP="007541C9">
      <w:pPr>
        <w:rPr>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7541C9" w:rsidTr="007541C9">
        <w:trPr>
          <w:cantSplit/>
        </w:trPr>
        <w:tc>
          <w:tcPr>
            <w:tcW w:w="1417" w:type="dxa"/>
            <w:tcBorders>
              <w:bottom w:val="single" w:sz="4" w:space="0" w:color="auto"/>
              <w:right w:val="single" w:sz="4" w:space="0" w:color="auto"/>
            </w:tcBorders>
          </w:tcPr>
          <w:p w:rsidR="007541C9" w:rsidRDefault="007541C9" w:rsidP="007541C9">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7541C9" w:rsidRDefault="007541C9" w:rsidP="007541C9">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7541C9" w:rsidRDefault="00AE5D55"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7541C9" w:rsidRDefault="007541C9" w:rsidP="007541C9">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770 (684)</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4,87 (4,80)</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95 (95)</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694 (641)</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4,47 (4,64)</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95 (91)</w:t>
            </w:r>
          </w:p>
        </w:tc>
      </w:tr>
      <w:tr w:rsidR="00360427" w:rsidTr="007541C9">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678 (649)</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4,25 (4,69)</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95 (96)</w:t>
            </w:r>
          </w:p>
        </w:tc>
      </w:tr>
      <w:tr w:rsidR="004F408C" w:rsidTr="007541C9">
        <w:trPr>
          <w:cantSplit/>
        </w:trPr>
        <w:tc>
          <w:tcPr>
            <w:tcW w:w="1417" w:type="dxa"/>
            <w:tcBorders>
              <w:right w:val="single" w:sz="4" w:space="0" w:color="auto"/>
            </w:tcBorders>
            <w:vAlign w:val="bottom"/>
          </w:tcPr>
          <w:p w:rsidR="004F408C" w:rsidRDefault="00360427" w:rsidP="004F408C">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4F408C" w:rsidRDefault="00360427" w:rsidP="00360427">
            <w:pPr>
              <w:rPr>
                <w:rFonts w:ascii="Arial" w:hAnsi="Arial" w:cs="Arial"/>
                <w:sz w:val="20"/>
              </w:rPr>
            </w:pPr>
            <w:r>
              <w:rPr>
                <w:rFonts w:ascii="Arial" w:hAnsi="Arial" w:cs="Arial"/>
                <w:sz w:val="20"/>
              </w:rPr>
              <w:t>323</w:t>
            </w:r>
            <w:r w:rsidR="004F408C">
              <w:rPr>
                <w:rFonts w:ascii="Arial" w:hAnsi="Arial" w:cs="Arial"/>
                <w:sz w:val="20"/>
              </w:rPr>
              <w:t xml:space="preserve"> (</w:t>
            </w:r>
            <w:r>
              <w:rPr>
                <w:rFonts w:ascii="Arial" w:hAnsi="Arial" w:cs="Arial"/>
                <w:sz w:val="20"/>
              </w:rPr>
              <w:t>322</w:t>
            </w:r>
            <w:r w:rsidR="004F408C">
              <w:rPr>
                <w:rFonts w:ascii="Arial" w:hAnsi="Arial" w:cs="Arial"/>
                <w:sz w:val="20"/>
              </w:rPr>
              <w:t>)</w:t>
            </w:r>
          </w:p>
        </w:tc>
        <w:tc>
          <w:tcPr>
            <w:tcW w:w="1843" w:type="dxa"/>
            <w:tcBorders>
              <w:left w:val="single" w:sz="4" w:space="0" w:color="auto"/>
              <w:right w:val="single" w:sz="4" w:space="0" w:color="auto"/>
            </w:tcBorders>
            <w:vAlign w:val="bottom"/>
          </w:tcPr>
          <w:p w:rsidR="004F408C" w:rsidRDefault="004F408C" w:rsidP="00360427">
            <w:pPr>
              <w:rPr>
                <w:rFonts w:ascii="Arial" w:hAnsi="Arial" w:cs="Arial"/>
                <w:sz w:val="20"/>
              </w:rPr>
            </w:pPr>
            <w:r>
              <w:rPr>
                <w:rFonts w:ascii="Arial" w:hAnsi="Arial" w:cs="Arial"/>
                <w:sz w:val="20"/>
              </w:rPr>
              <w:t>4,4</w:t>
            </w:r>
            <w:r w:rsidR="00360427">
              <w:rPr>
                <w:rFonts w:ascii="Arial" w:hAnsi="Arial" w:cs="Arial"/>
                <w:sz w:val="20"/>
              </w:rPr>
              <w:t>8</w:t>
            </w:r>
            <w:r>
              <w:rPr>
                <w:rFonts w:ascii="Arial" w:hAnsi="Arial" w:cs="Arial"/>
                <w:sz w:val="20"/>
              </w:rPr>
              <w:t xml:space="preserve"> (4,</w:t>
            </w:r>
            <w:r w:rsidR="00360427">
              <w:rPr>
                <w:rFonts w:ascii="Arial" w:hAnsi="Arial" w:cs="Arial"/>
                <w:sz w:val="20"/>
              </w:rPr>
              <w:t>57</w:t>
            </w:r>
            <w:r>
              <w:rPr>
                <w:rFonts w:ascii="Arial" w:hAnsi="Arial" w:cs="Arial"/>
                <w:sz w:val="20"/>
              </w:rPr>
              <w:t>)</w:t>
            </w:r>
          </w:p>
        </w:tc>
        <w:tc>
          <w:tcPr>
            <w:tcW w:w="1559" w:type="dxa"/>
            <w:tcBorders>
              <w:left w:val="single" w:sz="4" w:space="0" w:color="auto"/>
            </w:tcBorders>
            <w:vAlign w:val="bottom"/>
          </w:tcPr>
          <w:p w:rsidR="004F408C" w:rsidRDefault="004F408C" w:rsidP="00360427">
            <w:pPr>
              <w:rPr>
                <w:rFonts w:ascii="Arial" w:hAnsi="Arial" w:cs="Arial"/>
                <w:sz w:val="20"/>
              </w:rPr>
            </w:pPr>
            <w:r>
              <w:rPr>
                <w:rFonts w:ascii="Arial" w:hAnsi="Arial" w:cs="Arial"/>
                <w:sz w:val="20"/>
              </w:rPr>
              <w:t>9</w:t>
            </w:r>
            <w:r w:rsidR="00360427">
              <w:rPr>
                <w:rFonts w:ascii="Arial" w:hAnsi="Arial" w:cs="Arial"/>
                <w:sz w:val="20"/>
              </w:rPr>
              <w:t>4</w:t>
            </w:r>
            <w:r>
              <w:rPr>
                <w:rFonts w:ascii="Arial" w:hAnsi="Arial" w:cs="Arial"/>
                <w:sz w:val="20"/>
              </w:rPr>
              <w:t xml:space="preserve"> (9</w:t>
            </w:r>
            <w:r w:rsidR="00360427">
              <w:rPr>
                <w:rFonts w:ascii="Arial" w:hAnsi="Arial" w:cs="Arial"/>
                <w:sz w:val="20"/>
              </w:rPr>
              <w:t>5</w:t>
            </w:r>
            <w:r>
              <w:rPr>
                <w:rFonts w:ascii="Arial" w:hAnsi="Arial" w:cs="Arial"/>
                <w:sz w:val="20"/>
              </w:rPr>
              <w:t>)</w:t>
            </w:r>
          </w:p>
        </w:tc>
      </w:tr>
    </w:tbl>
    <w:p w:rsidR="007541C9" w:rsidRDefault="007541C9" w:rsidP="007541C9">
      <w:pPr>
        <w:rPr>
          <w:rFonts w:ascii="Trebuchet MS" w:hAnsi="Trebuchet MS"/>
          <w:sz w:val="20"/>
        </w:rPr>
      </w:pPr>
    </w:p>
    <w:p w:rsidR="007541C9" w:rsidRDefault="00BE31D0" w:rsidP="007541C9">
      <w:pPr>
        <w:rPr>
          <w:rFonts w:ascii="Trebuchet MS" w:hAnsi="Trebuchet MS"/>
          <w:sz w:val="20"/>
        </w:rPr>
      </w:pPr>
      <w:r>
        <w:rPr>
          <w:rFonts w:ascii="Trebuchet MS" w:hAnsi="Trebuchet MS"/>
          <w:noProof/>
          <w:sz w:val="20"/>
          <w:lang w:eastAsia="de-AT"/>
        </w:rPr>
        <w:drawing>
          <wp:inline distT="0" distB="0" distL="0" distR="0">
            <wp:extent cx="5619750" cy="2324100"/>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41C9" w:rsidRDefault="007541C9" w:rsidP="007541C9">
      <w:pPr>
        <w:rPr>
          <w:sz w:val="20"/>
        </w:rPr>
      </w:pPr>
    </w:p>
    <w:tbl>
      <w:tblPr>
        <w:tblW w:w="0" w:type="auto"/>
        <w:tblInd w:w="1063" w:type="dxa"/>
        <w:tblCellMar>
          <w:left w:w="70" w:type="dxa"/>
          <w:right w:w="70" w:type="dxa"/>
        </w:tblCellMar>
        <w:tblLook w:val="0000" w:firstRow="0" w:lastRow="0" w:firstColumn="0" w:lastColumn="0" w:noHBand="0" w:noVBand="0"/>
      </w:tblPr>
      <w:tblGrid>
        <w:gridCol w:w="1417"/>
        <w:gridCol w:w="1701"/>
        <w:gridCol w:w="1843"/>
        <w:gridCol w:w="1559"/>
      </w:tblGrid>
      <w:tr w:rsidR="000B4BBF" w:rsidTr="007541C9">
        <w:trPr>
          <w:cantSplit/>
        </w:trPr>
        <w:tc>
          <w:tcPr>
            <w:tcW w:w="1417" w:type="dxa"/>
            <w:tcBorders>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Monat</w:t>
            </w:r>
          </w:p>
        </w:tc>
        <w:tc>
          <w:tcPr>
            <w:tcW w:w="1701" w:type="dxa"/>
            <w:tcBorders>
              <w:left w:val="single" w:sz="4" w:space="0" w:color="auto"/>
              <w:bottom w:val="single" w:sz="4" w:space="0" w:color="auto"/>
              <w:right w:val="single" w:sz="4" w:space="0" w:color="auto"/>
            </w:tcBorders>
          </w:tcPr>
          <w:p w:rsidR="000B4BBF" w:rsidRDefault="000B4BBF" w:rsidP="00F00178">
            <w:pPr>
              <w:rPr>
                <w:rFonts w:ascii="Arial" w:hAnsi="Arial" w:cs="Arial"/>
                <w:sz w:val="20"/>
              </w:rPr>
            </w:pPr>
            <w:r>
              <w:rPr>
                <w:rFonts w:ascii="Arial" w:hAnsi="Arial" w:cs="Arial"/>
                <w:sz w:val="20"/>
              </w:rPr>
              <w:t>Anzahl</w:t>
            </w:r>
          </w:p>
        </w:tc>
        <w:tc>
          <w:tcPr>
            <w:tcW w:w="1843" w:type="dxa"/>
            <w:tcBorders>
              <w:left w:val="single" w:sz="4" w:space="0" w:color="auto"/>
              <w:bottom w:val="single" w:sz="4" w:space="0" w:color="auto"/>
              <w:right w:val="single" w:sz="4" w:space="0" w:color="auto"/>
            </w:tcBorders>
          </w:tcPr>
          <w:p w:rsidR="000B4BBF" w:rsidRDefault="000B4BBF" w:rsidP="00202F35">
            <w:pPr>
              <w:rPr>
                <w:rFonts w:ascii="Arial" w:hAnsi="Arial" w:cs="Arial"/>
                <w:sz w:val="20"/>
              </w:rPr>
            </w:pPr>
            <w:r>
              <w:rPr>
                <w:rFonts w:ascii="Arial" w:hAnsi="Arial" w:cs="Arial"/>
                <w:sz w:val="20"/>
              </w:rPr>
              <w:sym w:font="Symbol" w:char="F0C6"/>
            </w:r>
            <w:r>
              <w:rPr>
                <w:rFonts w:ascii="Arial" w:hAnsi="Arial" w:cs="Arial"/>
                <w:sz w:val="20"/>
              </w:rPr>
              <w:t xml:space="preserve"> Preis 201</w:t>
            </w:r>
            <w:r w:rsidR="00202F35">
              <w:rPr>
                <w:rFonts w:ascii="Arial" w:hAnsi="Arial" w:cs="Arial"/>
                <w:sz w:val="20"/>
              </w:rPr>
              <w:t>6</w:t>
            </w:r>
            <w:r>
              <w:rPr>
                <w:rFonts w:ascii="Arial" w:hAnsi="Arial" w:cs="Arial"/>
                <w:sz w:val="20"/>
              </w:rPr>
              <w:t>/1</w:t>
            </w:r>
            <w:r w:rsidR="00202F35">
              <w:rPr>
                <w:rFonts w:ascii="Arial" w:hAnsi="Arial" w:cs="Arial"/>
                <w:sz w:val="20"/>
              </w:rPr>
              <w:t>7</w:t>
            </w:r>
          </w:p>
        </w:tc>
        <w:tc>
          <w:tcPr>
            <w:tcW w:w="1559" w:type="dxa"/>
            <w:tcBorders>
              <w:left w:val="single" w:sz="4" w:space="0" w:color="auto"/>
              <w:bottom w:val="single" w:sz="4" w:space="0" w:color="auto"/>
            </w:tcBorders>
          </w:tcPr>
          <w:p w:rsidR="000B4BBF" w:rsidRDefault="000B4BBF" w:rsidP="00F00178">
            <w:pPr>
              <w:rPr>
                <w:rFonts w:ascii="Arial" w:hAnsi="Arial" w:cs="Arial"/>
                <w:sz w:val="20"/>
              </w:rPr>
            </w:pPr>
            <w:r>
              <w:rPr>
                <w:rFonts w:ascii="Arial" w:hAnsi="Arial" w:cs="Arial"/>
                <w:sz w:val="20"/>
              </w:rPr>
              <w:sym w:font="Symbol" w:char="F0C6"/>
            </w:r>
            <w:r>
              <w:rPr>
                <w:rFonts w:ascii="Arial" w:hAnsi="Arial" w:cs="Arial"/>
                <w:sz w:val="20"/>
              </w:rPr>
              <w:t xml:space="preserve"> Gewicht</w:t>
            </w:r>
          </w:p>
        </w:tc>
      </w:tr>
      <w:tr w:rsidR="00360427" w:rsidTr="008E762D">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September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165 (168)</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3,23 (3,47)</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89 (90)</w:t>
            </w:r>
          </w:p>
        </w:tc>
      </w:tr>
      <w:tr w:rsidR="00360427" w:rsidTr="008E762D">
        <w:trPr>
          <w:cantSplit/>
          <w:trHeight w:val="80"/>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Oktober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123 (161)</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3,22 (3,35)</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90 (90)</w:t>
            </w:r>
          </w:p>
        </w:tc>
      </w:tr>
      <w:tr w:rsidR="00360427" w:rsidTr="008E762D">
        <w:trPr>
          <w:cantSplit/>
        </w:trPr>
        <w:tc>
          <w:tcPr>
            <w:tcW w:w="1417" w:type="dxa"/>
            <w:tcBorders>
              <w:right w:val="single" w:sz="4" w:space="0" w:color="auto"/>
            </w:tcBorders>
            <w:vAlign w:val="bottom"/>
          </w:tcPr>
          <w:p w:rsidR="00360427" w:rsidRDefault="00360427" w:rsidP="00360427">
            <w:pPr>
              <w:rPr>
                <w:rFonts w:ascii="Arial" w:hAnsi="Arial" w:cs="Arial"/>
                <w:sz w:val="20"/>
              </w:rPr>
            </w:pPr>
            <w:r>
              <w:rPr>
                <w:rFonts w:ascii="Arial" w:hAnsi="Arial" w:cs="Arial"/>
                <w:sz w:val="20"/>
              </w:rPr>
              <w:t>November</w:t>
            </w:r>
          </w:p>
        </w:tc>
        <w:tc>
          <w:tcPr>
            <w:tcW w:w="1701"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128 (117)</w:t>
            </w:r>
          </w:p>
        </w:tc>
        <w:tc>
          <w:tcPr>
            <w:tcW w:w="1843" w:type="dxa"/>
            <w:tcBorders>
              <w:left w:val="single" w:sz="4" w:space="0" w:color="auto"/>
              <w:right w:val="single" w:sz="4" w:space="0" w:color="auto"/>
            </w:tcBorders>
            <w:vAlign w:val="bottom"/>
          </w:tcPr>
          <w:p w:rsidR="00360427" w:rsidRDefault="00360427" w:rsidP="00360427">
            <w:pPr>
              <w:rPr>
                <w:rFonts w:ascii="Arial" w:hAnsi="Arial" w:cs="Arial"/>
                <w:sz w:val="20"/>
              </w:rPr>
            </w:pPr>
            <w:r>
              <w:rPr>
                <w:rFonts w:ascii="Arial" w:hAnsi="Arial" w:cs="Arial"/>
                <w:sz w:val="20"/>
              </w:rPr>
              <w:t>3,24 (3,43)</w:t>
            </w:r>
          </w:p>
        </w:tc>
        <w:tc>
          <w:tcPr>
            <w:tcW w:w="1559" w:type="dxa"/>
            <w:tcBorders>
              <w:left w:val="single" w:sz="4" w:space="0" w:color="auto"/>
            </w:tcBorders>
            <w:vAlign w:val="bottom"/>
          </w:tcPr>
          <w:p w:rsidR="00360427" w:rsidRDefault="00360427" w:rsidP="00360427">
            <w:pPr>
              <w:rPr>
                <w:rFonts w:ascii="Arial" w:hAnsi="Arial" w:cs="Arial"/>
                <w:sz w:val="20"/>
              </w:rPr>
            </w:pPr>
            <w:r>
              <w:rPr>
                <w:rFonts w:ascii="Arial" w:hAnsi="Arial" w:cs="Arial"/>
                <w:sz w:val="20"/>
              </w:rPr>
              <w:t>91 (91)</w:t>
            </w:r>
          </w:p>
        </w:tc>
      </w:tr>
      <w:tr w:rsidR="004F408C" w:rsidTr="007541C9">
        <w:trPr>
          <w:cantSplit/>
        </w:trPr>
        <w:tc>
          <w:tcPr>
            <w:tcW w:w="1417" w:type="dxa"/>
            <w:tcBorders>
              <w:right w:val="single" w:sz="4" w:space="0" w:color="auto"/>
            </w:tcBorders>
            <w:vAlign w:val="bottom"/>
          </w:tcPr>
          <w:p w:rsidR="004F408C" w:rsidRDefault="00360427" w:rsidP="004F408C">
            <w:pPr>
              <w:rPr>
                <w:rFonts w:ascii="Arial" w:hAnsi="Arial" w:cs="Arial"/>
                <w:sz w:val="20"/>
              </w:rPr>
            </w:pPr>
            <w:r>
              <w:rPr>
                <w:rFonts w:ascii="Arial" w:hAnsi="Arial" w:cs="Arial"/>
                <w:sz w:val="20"/>
              </w:rPr>
              <w:t>Dezember</w:t>
            </w:r>
          </w:p>
        </w:tc>
        <w:tc>
          <w:tcPr>
            <w:tcW w:w="1701" w:type="dxa"/>
            <w:tcBorders>
              <w:left w:val="single" w:sz="4" w:space="0" w:color="auto"/>
              <w:right w:val="single" w:sz="4" w:space="0" w:color="auto"/>
            </w:tcBorders>
            <w:vAlign w:val="bottom"/>
          </w:tcPr>
          <w:p w:rsidR="004F408C" w:rsidRDefault="00360427" w:rsidP="00360427">
            <w:pPr>
              <w:rPr>
                <w:rFonts w:ascii="Arial" w:hAnsi="Arial" w:cs="Arial"/>
                <w:sz w:val="20"/>
              </w:rPr>
            </w:pPr>
            <w:r>
              <w:rPr>
                <w:rFonts w:ascii="Arial" w:hAnsi="Arial" w:cs="Arial"/>
                <w:sz w:val="20"/>
              </w:rPr>
              <w:t xml:space="preserve">  77</w:t>
            </w:r>
            <w:r w:rsidR="004F408C">
              <w:rPr>
                <w:rFonts w:ascii="Arial" w:hAnsi="Arial" w:cs="Arial"/>
                <w:sz w:val="20"/>
              </w:rPr>
              <w:t xml:space="preserve"> (</w:t>
            </w:r>
            <w:r>
              <w:rPr>
                <w:rFonts w:ascii="Arial" w:hAnsi="Arial" w:cs="Arial"/>
                <w:sz w:val="20"/>
              </w:rPr>
              <w:t>63</w:t>
            </w:r>
            <w:r w:rsidR="004F408C">
              <w:rPr>
                <w:rFonts w:ascii="Arial" w:hAnsi="Arial" w:cs="Arial"/>
                <w:sz w:val="20"/>
              </w:rPr>
              <w:t>)</w:t>
            </w:r>
          </w:p>
        </w:tc>
        <w:tc>
          <w:tcPr>
            <w:tcW w:w="1843" w:type="dxa"/>
            <w:tcBorders>
              <w:left w:val="single" w:sz="4" w:space="0" w:color="auto"/>
              <w:right w:val="single" w:sz="4" w:space="0" w:color="auto"/>
            </w:tcBorders>
            <w:vAlign w:val="bottom"/>
          </w:tcPr>
          <w:p w:rsidR="004F408C" w:rsidRDefault="004F408C" w:rsidP="00360427">
            <w:pPr>
              <w:rPr>
                <w:rFonts w:ascii="Arial" w:hAnsi="Arial" w:cs="Arial"/>
                <w:sz w:val="20"/>
              </w:rPr>
            </w:pPr>
            <w:r>
              <w:rPr>
                <w:rFonts w:ascii="Arial" w:hAnsi="Arial" w:cs="Arial"/>
                <w:sz w:val="20"/>
              </w:rPr>
              <w:t>3,</w:t>
            </w:r>
            <w:r w:rsidR="00360427">
              <w:rPr>
                <w:rFonts w:ascii="Arial" w:hAnsi="Arial" w:cs="Arial"/>
                <w:sz w:val="20"/>
              </w:rPr>
              <w:t>28</w:t>
            </w:r>
            <w:r>
              <w:rPr>
                <w:rFonts w:ascii="Arial" w:hAnsi="Arial" w:cs="Arial"/>
                <w:sz w:val="20"/>
              </w:rPr>
              <w:t xml:space="preserve"> (3,</w:t>
            </w:r>
            <w:r w:rsidR="00360427">
              <w:rPr>
                <w:rFonts w:ascii="Arial" w:hAnsi="Arial" w:cs="Arial"/>
                <w:sz w:val="20"/>
              </w:rPr>
              <w:t>69</w:t>
            </w:r>
            <w:r>
              <w:rPr>
                <w:rFonts w:ascii="Arial" w:hAnsi="Arial" w:cs="Arial"/>
                <w:sz w:val="20"/>
              </w:rPr>
              <w:t>)</w:t>
            </w:r>
          </w:p>
        </w:tc>
        <w:tc>
          <w:tcPr>
            <w:tcW w:w="1559" w:type="dxa"/>
            <w:tcBorders>
              <w:left w:val="single" w:sz="4" w:space="0" w:color="auto"/>
            </w:tcBorders>
            <w:vAlign w:val="bottom"/>
          </w:tcPr>
          <w:p w:rsidR="004F408C" w:rsidRDefault="00360427" w:rsidP="004F408C">
            <w:pPr>
              <w:rPr>
                <w:rFonts w:ascii="Arial" w:hAnsi="Arial" w:cs="Arial"/>
                <w:sz w:val="20"/>
              </w:rPr>
            </w:pPr>
            <w:r>
              <w:rPr>
                <w:rFonts w:ascii="Arial" w:hAnsi="Arial" w:cs="Arial"/>
                <w:sz w:val="20"/>
              </w:rPr>
              <w:t>89</w:t>
            </w:r>
            <w:r w:rsidR="004F408C">
              <w:rPr>
                <w:rFonts w:ascii="Arial" w:hAnsi="Arial" w:cs="Arial"/>
                <w:sz w:val="20"/>
              </w:rPr>
              <w:t xml:space="preserve"> (90)</w:t>
            </w:r>
          </w:p>
        </w:tc>
      </w:tr>
    </w:tbl>
    <w:p w:rsidR="007541C9" w:rsidRDefault="007541C9" w:rsidP="007541C9">
      <w:pPr>
        <w:rPr>
          <w:rFonts w:ascii="Arial" w:hAnsi="Arial" w:cs="Arial"/>
          <w:sz w:val="20"/>
        </w:rPr>
      </w:pPr>
    </w:p>
    <w:p w:rsidR="00387DCD" w:rsidRDefault="00387DCD">
      <w:pPr>
        <w:tabs>
          <w:tab w:val="left" w:pos="2127"/>
          <w:tab w:val="left" w:pos="3119"/>
          <w:tab w:val="left" w:pos="4253"/>
          <w:tab w:val="left" w:pos="5670"/>
          <w:tab w:val="left" w:pos="6946"/>
          <w:tab w:val="left" w:pos="7938"/>
        </w:tabs>
        <w:spacing w:before="120"/>
        <w:jc w:val="both"/>
        <w:rPr>
          <w:rFonts w:ascii="Arial" w:hAnsi="Arial" w:cs="Arial"/>
          <w:sz w:val="21"/>
        </w:rPr>
      </w:pPr>
    </w:p>
    <w:p w:rsidR="00387DCD" w:rsidRDefault="00387DCD">
      <w:pPr>
        <w:rPr>
          <w:b/>
          <w:bCs/>
          <w:sz w:val="22"/>
        </w:rPr>
      </w:pPr>
    </w:p>
    <w:sectPr w:rsidR="00387DCD" w:rsidSect="00360427">
      <w:pgSz w:w="11907" w:h="16840"/>
      <w:pgMar w:top="426" w:right="850"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CD"/>
    <w:rsid w:val="000030FB"/>
    <w:rsid w:val="00006530"/>
    <w:rsid w:val="0000679F"/>
    <w:rsid w:val="000076CF"/>
    <w:rsid w:val="00010C96"/>
    <w:rsid w:val="000131EA"/>
    <w:rsid w:val="00013E92"/>
    <w:rsid w:val="00021DF2"/>
    <w:rsid w:val="0002257F"/>
    <w:rsid w:val="0002345E"/>
    <w:rsid w:val="000254DE"/>
    <w:rsid w:val="00040061"/>
    <w:rsid w:val="00041760"/>
    <w:rsid w:val="00044B89"/>
    <w:rsid w:val="00052081"/>
    <w:rsid w:val="00052637"/>
    <w:rsid w:val="000547C6"/>
    <w:rsid w:val="00055770"/>
    <w:rsid w:val="00061870"/>
    <w:rsid w:val="000620E5"/>
    <w:rsid w:val="000716A7"/>
    <w:rsid w:val="0007501F"/>
    <w:rsid w:val="00081188"/>
    <w:rsid w:val="00081909"/>
    <w:rsid w:val="00084689"/>
    <w:rsid w:val="000863D1"/>
    <w:rsid w:val="0008659F"/>
    <w:rsid w:val="0008731F"/>
    <w:rsid w:val="00087A85"/>
    <w:rsid w:val="00087F49"/>
    <w:rsid w:val="00095FA0"/>
    <w:rsid w:val="000A1B3F"/>
    <w:rsid w:val="000A284B"/>
    <w:rsid w:val="000A2FA4"/>
    <w:rsid w:val="000A675C"/>
    <w:rsid w:val="000A69BE"/>
    <w:rsid w:val="000B2840"/>
    <w:rsid w:val="000B2A92"/>
    <w:rsid w:val="000B2D70"/>
    <w:rsid w:val="000B4BBF"/>
    <w:rsid w:val="000B7B2E"/>
    <w:rsid w:val="000C15D7"/>
    <w:rsid w:val="000C204C"/>
    <w:rsid w:val="000C2F25"/>
    <w:rsid w:val="000C333B"/>
    <w:rsid w:val="000C5CEA"/>
    <w:rsid w:val="000C6E3A"/>
    <w:rsid w:val="000C6F04"/>
    <w:rsid w:val="000D384F"/>
    <w:rsid w:val="000D5610"/>
    <w:rsid w:val="000D7932"/>
    <w:rsid w:val="000E029D"/>
    <w:rsid w:val="000E1C64"/>
    <w:rsid w:val="000E7D8A"/>
    <w:rsid w:val="000F1592"/>
    <w:rsid w:val="000F27D8"/>
    <w:rsid w:val="001024A3"/>
    <w:rsid w:val="00104B60"/>
    <w:rsid w:val="0010737A"/>
    <w:rsid w:val="00107C25"/>
    <w:rsid w:val="00111943"/>
    <w:rsid w:val="00113F4F"/>
    <w:rsid w:val="00114D74"/>
    <w:rsid w:val="001150C8"/>
    <w:rsid w:val="00115177"/>
    <w:rsid w:val="001157CD"/>
    <w:rsid w:val="00117DEF"/>
    <w:rsid w:val="00125F67"/>
    <w:rsid w:val="001265ED"/>
    <w:rsid w:val="001406B0"/>
    <w:rsid w:val="0014213D"/>
    <w:rsid w:val="00147536"/>
    <w:rsid w:val="00150E15"/>
    <w:rsid w:val="00155362"/>
    <w:rsid w:val="001562C3"/>
    <w:rsid w:val="001613FF"/>
    <w:rsid w:val="00162DCA"/>
    <w:rsid w:val="00164B0D"/>
    <w:rsid w:val="00164EE1"/>
    <w:rsid w:val="0017173F"/>
    <w:rsid w:val="001740AD"/>
    <w:rsid w:val="00174F47"/>
    <w:rsid w:val="00182AC8"/>
    <w:rsid w:val="00184C84"/>
    <w:rsid w:val="00190213"/>
    <w:rsid w:val="00190E2D"/>
    <w:rsid w:val="001954BE"/>
    <w:rsid w:val="001957A4"/>
    <w:rsid w:val="001969F3"/>
    <w:rsid w:val="001A1E1E"/>
    <w:rsid w:val="001A4B3F"/>
    <w:rsid w:val="001A5BEF"/>
    <w:rsid w:val="001A6707"/>
    <w:rsid w:val="001A6D23"/>
    <w:rsid w:val="001A72E2"/>
    <w:rsid w:val="001A7AF9"/>
    <w:rsid w:val="001B6714"/>
    <w:rsid w:val="001B77D2"/>
    <w:rsid w:val="001C4B79"/>
    <w:rsid w:val="001D6316"/>
    <w:rsid w:val="001E03AA"/>
    <w:rsid w:val="001E0C57"/>
    <w:rsid w:val="001E1CEA"/>
    <w:rsid w:val="001E3ECC"/>
    <w:rsid w:val="001E622E"/>
    <w:rsid w:val="001E6772"/>
    <w:rsid w:val="001F64E4"/>
    <w:rsid w:val="001F7BF1"/>
    <w:rsid w:val="00202F35"/>
    <w:rsid w:val="00203328"/>
    <w:rsid w:val="00206E33"/>
    <w:rsid w:val="002123E5"/>
    <w:rsid w:val="0021699D"/>
    <w:rsid w:val="002216B4"/>
    <w:rsid w:val="00223B7B"/>
    <w:rsid w:val="0022511C"/>
    <w:rsid w:val="00225600"/>
    <w:rsid w:val="00230544"/>
    <w:rsid w:val="0023570E"/>
    <w:rsid w:val="00237909"/>
    <w:rsid w:val="002400A9"/>
    <w:rsid w:val="00240FBF"/>
    <w:rsid w:val="00241344"/>
    <w:rsid w:val="00242BF2"/>
    <w:rsid w:val="00246537"/>
    <w:rsid w:val="002519F2"/>
    <w:rsid w:val="0025376C"/>
    <w:rsid w:val="00257DFA"/>
    <w:rsid w:val="002605E4"/>
    <w:rsid w:val="002617AC"/>
    <w:rsid w:val="00261CED"/>
    <w:rsid w:val="00262891"/>
    <w:rsid w:val="002667A7"/>
    <w:rsid w:val="00271494"/>
    <w:rsid w:val="00280B21"/>
    <w:rsid w:val="00283945"/>
    <w:rsid w:val="00287A52"/>
    <w:rsid w:val="00294662"/>
    <w:rsid w:val="00295E84"/>
    <w:rsid w:val="002964B8"/>
    <w:rsid w:val="002965F5"/>
    <w:rsid w:val="00297724"/>
    <w:rsid w:val="002A0039"/>
    <w:rsid w:val="002A7DC2"/>
    <w:rsid w:val="002B3112"/>
    <w:rsid w:val="002B7228"/>
    <w:rsid w:val="002C029E"/>
    <w:rsid w:val="002C2801"/>
    <w:rsid w:val="002C6139"/>
    <w:rsid w:val="002C658D"/>
    <w:rsid w:val="002D0666"/>
    <w:rsid w:val="002D25C6"/>
    <w:rsid w:val="002D35F3"/>
    <w:rsid w:val="002D3C8F"/>
    <w:rsid w:val="002D55A4"/>
    <w:rsid w:val="002D78B3"/>
    <w:rsid w:val="002E08E8"/>
    <w:rsid w:val="002E7248"/>
    <w:rsid w:val="002F64A9"/>
    <w:rsid w:val="0030284A"/>
    <w:rsid w:val="00303408"/>
    <w:rsid w:val="00311803"/>
    <w:rsid w:val="00312D41"/>
    <w:rsid w:val="00314174"/>
    <w:rsid w:val="00320B35"/>
    <w:rsid w:val="00320D3F"/>
    <w:rsid w:val="00321F1B"/>
    <w:rsid w:val="00322BF0"/>
    <w:rsid w:val="00323656"/>
    <w:rsid w:val="00332092"/>
    <w:rsid w:val="003334C9"/>
    <w:rsid w:val="0033627E"/>
    <w:rsid w:val="00336B0C"/>
    <w:rsid w:val="00341BF5"/>
    <w:rsid w:val="00342BA6"/>
    <w:rsid w:val="00344FBB"/>
    <w:rsid w:val="003458E6"/>
    <w:rsid w:val="0034756A"/>
    <w:rsid w:val="00353508"/>
    <w:rsid w:val="003545A8"/>
    <w:rsid w:val="003560C9"/>
    <w:rsid w:val="00357B77"/>
    <w:rsid w:val="00360427"/>
    <w:rsid w:val="00361200"/>
    <w:rsid w:val="0037375C"/>
    <w:rsid w:val="00373C18"/>
    <w:rsid w:val="00374F0C"/>
    <w:rsid w:val="003837D1"/>
    <w:rsid w:val="00387DCD"/>
    <w:rsid w:val="00391A14"/>
    <w:rsid w:val="00397BCD"/>
    <w:rsid w:val="003A0717"/>
    <w:rsid w:val="003A414F"/>
    <w:rsid w:val="003A6BAE"/>
    <w:rsid w:val="003B0CDB"/>
    <w:rsid w:val="003B169D"/>
    <w:rsid w:val="003B2F77"/>
    <w:rsid w:val="003B43BF"/>
    <w:rsid w:val="003B4F84"/>
    <w:rsid w:val="003B689E"/>
    <w:rsid w:val="003B69C4"/>
    <w:rsid w:val="003C3BF1"/>
    <w:rsid w:val="003C3E33"/>
    <w:rsid w:val="003D2A67"/>
    <w:rsid w:val="003D52CA"/>
    <w:rsid w:val="003D5DE5"/>
    <w:rsid w:val="003D6ECB"/>
    <w:rsid w:val="003D7B37"/>
    <w:rsid w:val="003E0BE4"/>
    <w:rsid w:val="003E556E"/>
    <w:rsid w:val="003E5DBC"/>
    <w:rsid w:val="003E7BD9"/>
    <w:rsid w:val="003F36FF"/>
    <w:rsid w:val="003F4333"/>
    <w:rsid w:val="003F77C8"/>
    <w:rsid w:val="00402E78"/>
    <w:rsid w:val="004120C0"/>
    <w:rsid w:val="004139A2"/>
    <w:rsid w:val="004170A6"/>
    <w:rsid w:val="00420209"/>
    <w:rsid w:val="00425EEC"/>
    <w:rsid w:val="0043084A"/>
    <w:rsid w:val="00431C49"/>
    <w:rsid w:val="004329BF"/>
    <w:rsid w:val="00432AB8"/>
    <w:rsid w:val="004363A5"/>
    <w:rsid w:val="004373A0"/>
    <w:rsid w:val="004377F1"/>
    <w:rsid w:val="00441C71"/>
    <w:rsid w:val="0044314C"/>
    <w:rsid w:val="00447751"/>
    <w:rsid w:val="00450196"/>
    <w:rsid w:val="00450B6E"/>
    <w:rsid w:val="00450CA2"/>
    <w:rsid w:val="00453C39"/>
    <w:rsid w:val="004546DD"/>
    <w:rsid w:val="00456FD1"/>
    <w:rsid w:val="00460FDA"/>
    <w:rsid w:val="004641ED"/>
    <w:rsid w:val="00467772"/>
    <w:rsid w:val="004703C3"/>
    <w:rsid w:val="004710CB"/>
    <w:rsid w:val="00472AB6"/>
    <w:rsid w:val="004806B9"/>
    <w:rsid w:val="00482267"/>
    <w:rsid w:val="004863EE"/>
    <w:rsid w:val="004913CA"/>
    <w:rsid w:val="004A0D50"/>
    <w:rsid w:val="004A2AB4"/>
    <w:rsid w:val="004A5CA8"/>
    <w:rsid w:val="004B09A4"/>
    <w:rsid w:val="004C1C76"/>
    <w:rsid w:val="004C2442"/>
    <w:rsid w:val="004D0203"/>
    <w:rsid w:val="004D55E2"/>
    <w:rsid w:val="004D78A3"/>
    <w:rsid w:val="004E3E1C"/>
    <w:rsid w:val="004E437D"/>
    <w:rsid w:val="004E546D"/>
    <w:rsid w:val="004E56BF"/>
    <w:rsid w:val="004E7BDF"/>
    <w:rsid w:val="004F0933"/>
    <w:rsid w:val="004F30C8"/>
    <w:rsid w:val="004F408C"/>
    <w:rsid w:val="004F40B5"/>
    <w:rsid w:val="004F4189"/>
    <w:rsid w:val="004F62ED"/>
    <w:rsid w:val="004F6DCE"/>
    <w:rsid w:val="00510D91"/>
    <w:rsid w:val="00512D97"/>
    <w:rsid w:val="0051321B"/>
    <w:rsid w:val="00520293"/>
    <w:rsid w:val="005306F2"/>
    <w:rsid w:val="00531590"/>
    <w:rsid w:val="005323BC"/>
    <w:rsid w:val="0053241E"/>
    <w:rsid w:val="0053716F"/>
    <w:rsid w:val="00542D72"/>
    <w:rsid w:val="0054543F"/>
    <w:rsid w:val="00546F7A"/>
    <w:rsid w:val="005542B2"/>
    <w:rsid w:val="0055625C"/>
    <w:rsid w:val="0056242B"/>
    <w:rsid w:val="005641AA"/>
    <w:rsid w:val="0057067E"/>
    <w:rsid w:val="0057564B"/>
    <w:rsid w:val="005817B6"/>
    <w:rsid w:val="00586D1D"/>
    <w:rsid w:val="00596950"/>
    <w:rsid w:val="005A09F1"/>
    <w:rsid w:val="005A7382"/>
    <w:rsid w:val="005B1555"/>
    <w:rsid w:val="005B3BD0"/>
    <w:rsid w:val="005C2C4A"/>
    <w:rsid w:val="005D66C3"/>
    <w:rsid w:val="005E0463"/>
    <w:rsid w:val="005E0F94"/>
    <w:rsid w:val="005E21FD"/>
    <w:rsid w:val="005E238A"/>
    <w:rsid w:val="005E496F"/>
    <w:rsid w:val="005E6BF1"/>
    <w:rsid w:val="005F10A9"/>
    <w:rsid w:val="005F20CE"/>
    <w:rsid w:val="005F2DC6"/>
    <w:rsid w:val="0060365D"/>
    <w:rsid w:val="00605E57"/>
    <w:rsid w:val="00606DA8"/>
    <w:rsid w:val="00606EE9"/>
    <w:rsid w:val="0061011F"/>
    <w:rsid w:val="006103B0"/>
    <w:rsid w:val="00612820"/>
    <w:rsid w:val="00612B3A"/>
    <w:rsid w:val="00615BE6"/>
    <w:rsid w:val="006168B4"/>
    <w:rsid w:val="00616C6D"/>
    <w:rsid w:val="006170CD"/>
    <w:rsid w:val="00621942"/>
    <w:rsid w:val="0062198A"/>
    <w:rsid w:val="00622E76"/>
    <w:rsid w:val="006249F3"/>
    <w:rsid w:val="00634C5F"/>
    <w:rsid w:val="00634D31"/>
    <w:rsid w:val="00636F0B"/>
    <w:rsid w:val="006373FD"/>
    <w:rsid w:val="00643E54"/>
    <w:rsid w:val="006473C2"/>
    <w:rsid w:val="00650B73"/>
    <w:rsid w:val="00657171"/>
    <w:rsid w:val="0066732F"/>
    <w:rsid w:val="00667576"/>
    <w:rsid w:val="00671D17"/>
    <w:rsid w:val="006773E4"/>
    <w:rsid w:val="0068056B"/>
    <w:rsid w:val="006817C6"/>
    <w:rsid w:val="006832EE"/>
    <w:rsid w:val="0068584A"/>
    <w:rsid w:val="00687A90"/>
    <w:rsid w:val="0069444B"/>
    <w:rsid w:val="00696CD6"/>
    <w:rsid w:val="006A027D"/>
    <w:rsid w:val="006A0426"/>
    <w:rsid w:val="006A219B"/>
    <w:rsid w:val="006A2432"/>
    <w:rsid w:val="006A3D90"/>
    <w:rsid w:val="006A55F8"/>
    <w:rsid w:val="006A6758"/>
    <w:rsid w:val="006A683B"/>
    <w:rsid w:val="006B2CCB"/>
    <w:rsid w:val="006B5025"/>
    <w:rsid w:val="006D40A5"/>
    <w:rsid w:val="006D5AB0"/>
    <w:rsid w:val="006D6632"/>
    <w:rsid w:val="006D72EE"/>
    <w:rsid w:val="006E3046"/>
    <w:rsid w:val="006E4921"/>
    <w:rsid w:val="006F014B"/>
    <w:rsid w:val="006F025C"/>
    <w:rsid w:val="006F1DF9"/>
    <w:rsid w:val="006F245F"/>
    <w:rsid w:val="006F4098"/>
    <w:rsid w:val="006F66A4"/>
    <w:rsid w:val="0070026B"/>
    <w:rsid w:val="007003EE"/>
    <w:rsid w:val="007011F7"/>
    <w:rsid w:val="00704160"/>
    <w:rsid w:val="007058B5"/>
    <w:rsid w:val="00706928"/>
    <w:rsid w:val="00707BD7"/>
    <w:rsid w:val="00710C93"/>
    <w:rsid w:val="0071193E"/>
    <w:rsid w:val="00712F78"/>
    <w:rsid w:val="00720338"/>
    <w:rsid w:val="007225DD"/>
    <w:rsid w:val="00722685"/>
    <w:rsid w:val="0072437E"/>
    <w:rsid w:val="00741A77"/>
    <w:rsid w:val="00742E86"/>
    <w:rsid w:val="00743174"/>
    <w:rsid w:val="007475E9"/>
    <w:rsid w:val="00752642"/>
    <w:rsid w:val="007541C9"/>
    <w:rsid w:val="0075600A"/>
    <w:rsid w:val="0075767C"/>
    <w:rsid w:val="00757B00"/>
    <w:rsid w:val="00757E6D"/>
    <w:rsid w:val="007604AD"/>
    <w:rsid w:val="00762798"/>
    <w:rsid w:val="007632EA"/>
    <w:rsid w:val="0076414D"/>
    <w:rsid w:val="00770037"/>
    <w:rsid w:val="007710A2"/>
    <w:rsid w:val="00773F42"/>
    <w:rsid w:val="007862C0"/>
    <w:rsid w:val="00787A66"/>
    <w:rsid w:val="00787ABC"/>
    <w:rsid w:val="00792358"/>
    <w:rsid w:val="007939B0"/>
    <w:rsid w:val="0079400D"/>
    <w:rsid w:val="0079676E"/>
    <w:rsid w:val="007A3580"/>
    <w:rsid w:val="007A57C8"/>
    <w:rsid w:val="007A5A57"/>
    <w:rsid w:val="007B2995"/>
    <w:rsid w:val="007C4DAA"/>
    <w:rsid w:val="007C61EA"/>
    <w:rsid w:val="007C69B8"/>
    <w:rsid w:val="007C7DF9"/>
    <w:rsid w:val="007D2AD0"/>
    <w:rsid w:val="007D3EE5"/>
    <w:rsid w:val="007D4EAB"/>
    <w:rsid w:val="007E09D4"/>
    <w:rsid w:val="007E0DA6"/>
    <w:rsid w:val="007F0159"/>
    <w:rsid w:val="007F4959"/>
    <w:rsid w:val="007F7005"/>
    <w:rsid w:val="007F71AF"/>
    <w:rsid w:val="00802ECF"/>
    <w:rsid w:val="008042D1"/>
    <w:rsid w:val="00811EAE"/>
    <w:rsid w:val="00814983"/>
    <w:rsid w:val="00814A74"/>
    <w:rsid w:val="00823B17"/>
    <w:rsid w:val="0082633A"/>
    <w:rsid w:val="0083184D"/>
    <w:rsid w:val="008330D4"/>
    <w:rsid w:val="00843BF8"/>
    <w:rsid w:val="00846495"/>
    <w:rsid w:val="008468B4"/>
    <w:rsid w:val="008479BB"/>
    <w:rsid w:val="00850173"/>
    <w:rsid w:val="00851F9F"/>
    <w:rsid w:val="0085232E"/>
    <w:rsid w:val="00852AC8"/>
    <w:rsid w:val="00857E95"/>
    <w:rsid w:val="00857F14"/>
    <w:rsid w:val="00860A1D"/>
    <w:rsid w:val="00861DB8"/>
    <w:rsid w:val="008640B8"/>
    <w:rsid w:val="0086436B"/>
    <w:rsid w:val="00866074"/>
    <w:rsid w:val="0086714C"/>
    <w:rsid w:val="008678EC"/>
    <w:rsid w:val="00874777"/>
    <w:rsid w:val="00876941"/>
    <w:rsid w:val="008774DE"/>
    <w:rsid w:val="008778FB"/>
    <w:rsid w:val="00880696"/>
    <w:rsid w:val="00882756"/>
    <w:rsid w:val="00882C17"/>
    <w:rsid w:val="0088690F"/>
    <w:rsid w:val="00886C7E"/>
    <w:rsid w:val="00887869"/>
    <w:rsid w:val="008903B3"/>
    <w:rsid w:val="0089144B"/>
    <w:rsid w:val="00891EBB"/>
    <w:rsid w:val="00893AD5"/>
    <w:rsid w:val="008968E8"/>
    <w:rsid w:val="00896AD7"/>
    <w:rsid w:val="00897CFC"/>
    <w:rsid w:val="008A1A30"/>
    <w:rsid w:val="008A31D6"/>
    <w:rsid w:val="008A5C7A"/>
    <w:rsid w:val="008A7BBD"/>
    <w:rsid w:val="008B67A0"/>
    <w:rsid w:val="008B7468"/>
    <w:rsid w:val="008C53F9"/>
    <w:rsid w:val="008C5696"/>
    <w:rsid w:val="008C595A"/>
    <w:rsid w:val="008D4818"/>
    <w:rsid w:val="008D54AC"/>
    <w:rsid w:val="008D5530"/>
    <w:rsid w:val="008E5C77"/>
    <w:rsid w:val="008E630D"/>
    <w:rsid w:val="008E6399"/>
    <w:rsid w:val="008E6FA2"/>
    <w:rsid w:val="008F1594"/>
    <w:rsid w:val="008F232A"/>
    <w:rsid w:val="008F3EE4"/>
    <w:rsid w:val="008F4BC9"/>
    <w:rsid w:val="008F75B9"/>
    <w:rsid w:val="00906036"/>
    <w:rsid w:val="009103EB"/>
    <w:rsid w:val="009125FD"/>
    <w:rsid w:val="00913AB8"/>
    <w:rsid w:val="009174E1"/>
    <w:rsid w:val="0092148B"/>
    <w:rsid w:val="009218E9"/>
    <w:rsid w:val="009225D8"/>
    <w:rsid w:val="0092272C"/>
    <w:rsid w:val="009241E8"/>
    <w:rsid w:val="009246F3"/>
    <w:rsid w:val="00925555"/>
    <w:rsid w:val="00925C17"/>
    <w:rsid w:val="00927568"/>
    <w:rsid w:val="00927C73"/>
    <w:rsid w:val="00930EB6"/>
    <w:rsid w:val="00937953"/>
    <w:rsid w:val="0094581C"/>
    <w:rsid w:val="0095017E"/>
    <w:rsid w:val="00955361"/>
    <w:rsid w:val="00956092"/>
    <w:rsid w:val="00957FF4"/>
    <w:rsid w:val="009612F3"/>
    <w:rsid w:val="00962E14"/>
    <w:rsid w:val="0096372B"/>
    <w:rsid w:val="00967247"/>
    <w:rsid w:val="0096761F"/>
    <w:rsid w:val="0097534C"/>
    <w:rsid w:val="009764C0"/>
    <w:rsid w:val="009807EB"/>
    <w:rsid w:val="0099429C"/>
    <w:rsid w:val="009949D2"/>
    <w:rsid w:val="0099794B"/>
    <w:rsid w:val="009A179A"/>
    <w:rsid w:val="009B196C"/>
    <w:rsid w:val="009B1FBD"/>
    <w:rsid w:val="009B28D4"/>
    <w:rsid w:val="009B65CB"/>
    <w:rsid w:val="009C0EA3"/>
    <w:rsid w:val="009C48A1"/>
    <w:rsid w:val="009C4F8C"/>
    <w:rsid w:val="009C61C2"/>
    <w:rsid w:val="009C7831"/>
    <w:rsid w:val="009D0605"/>
    <w:rsid w:val="009D4FFE"/>
    <w:rsid w:val="009E26DB"/>
    <w:rsid w:val="009E55F5"/>
    <w:rsid w:val="009E7A5B"/>
    <w:rsid w:val="009F102E"/>
    <w:rsid w:val="009F6020"/>
    <w:rsid w:val="009F77CB"/>
    <w:rsid w:val="00A02552"/>
    <w:rsid w:val="00A02FB1"/>
    <w:rsid w:val="00A07AA2"/>
    <w:rsid w:val="00A1182B"/>
    <w:rsid w:val="00A12E6B"/>
    <w:rsid w:val="00A17C35"/>
    <w:rsid w:val="00A23C89"/>
    <w:rsid w:val="00A246F2"/>
    <w:rsid w:val="00A24AF2"/>
    <w:rsid w:val="00A25D75"/>
    <w:rsid w:val="00A27537"/>
    <w:rsid w:val="00A40C46"/>
    <w:rsid w:val="00A40D4A"/>
    <w:rsid w:val="00A424B1"/>
    <w:rsid w:val="00A43B6A"/>
    <w:rsid w:val="00A44651"/>
    <w:rsid w:val="00A464F9"/>
    <w:rsid w:val="00A47B9F"/>
    <w:rsid w:val="00A51B25"/>
    <w:rsid w:val="00A51C0B"/>
    <w:rsid w:val="00A61FF8"/>
    <w:rsid w:val="00A635EF"/>
    <w:rsid w:val="00A65EBF"/>
    <w:rsid w:val="00A675CB"/>
    <w:rsid w:val="00A739F4"/>
    <w:rsid w:val="00A76153"/>
    <w:rsid w:val="00A76600"/>
    <w:rsid w:val="00A77C84"/>
    <w:rsid w:val="00A8371E"/>
    <w:rsid w:val="00A86AEA"/>
    <w:rsid w:val="00A91D22"/>
    <w:rsid w:val="00AA16DF"/>
    <w:rsid w:val="00AA6516"/>
    <w:rsid w:val="00AB2DD0"/>
    <w:rsid w:val="00AB59C3"/>
    <w:rsid w:val="00AC22E8"/>
    <w:rsid w:val="00AC3575"/>
    <w:rsid w:val="00AC3E80"/>
    <w:rsid w:val="00AD4BF2"/>
    <w:rsid w:val="00AE24C6"/>
    <w:rsid w:val="00AE5D55"/>
    <w:rsid w:val="00AE60C5"/>
    <w:rsid w:val="00AE6119"/>
    <w:rsid w:val="00AF4B39"/>
    <w:rsid w:val="00B05416"/>
    <w:rsid w:val="00B06EB7"/>
    <w:rsid w:val="00B07A6D"/>
    <w:rsid w:val="00B11B9A"/>
    <w:rsid w:val="00B14053"/>
    <w:rsid w:val="00B15885"/>
    <w:rsid w:val="00B21783"/>
    <w:rsid w:val="00B21F5B"/>
    <w:rsid w:val="00B21FA6"/>
    <w:rsid w:val="00B23E7A"/>
    <w:rsid w:val="00B25F2D"/>
    <w:rsid w:val="00B26EC7"/>
    <w:rsid w:val="00B32754"/>
    <w:rsid w:val="00B40AE0"/>
    <w:rsid w:val="00B55F84"/>
    <w:rsid w:val="00B610CC"/>
    <w:rsid w:val="00B61EA4"/>
    <w:rsid w:val="00B6273F"/>
    <w:rsid w:val="00B63831"/>
    <w:rsid w:val="00B6589D"/>
    <w:rsid w:val="00B700D1"/>
    <w:rsid w:val="00B75EE5"/>
    <w:rsid w:val="00B87DA3"/>
    <w:rsid w:val="00B91FA6"/>
    <w:rsid w:val="00B9289F"/>
    <w:rsid w:val="00BA6B1F"/>
    <w:rsid w:val="00BA6EE3"/>
    <w:rsid w:val="00BB3191"/>
    <w:rsid w:val="00BB52EA"/>
    <w:rsid w:val="00BC032F"/>
    <w:rsid w:val="00BC1B32"/>
    <w:rsid w:val="00BC2BAC"/>
    <w:rsid w:val="00BC2D6C"/>
    <w:rsid w:val="00BC53A3"/>
    <w:rsid w:val="00BC72AB"/>
    <w:rsid w:val="00BD7F06"/>
    <w:rsid w:val="00BE1F6C"/>
    <w:rsid w:val="00BE300F"/>
    <w:rsid w:val="00BE31D0"/>
    <w:rsid w:val="00BE6AD7"/>
    <w:rsid w:val="00BF10A9"/>
    <w:rsid w:val="00BF154C"/>
    <w:rsid w:val="00BF4B9E"/>
    <w:rsid w:val="00BF4F09"/>
    <w:rsid w:val="00C01E67"/>
    <w:rsid w:val="00C04E8F"/>
    <w:rsid w:val="00C079F7"/>
    <w:rsid w:val="00C143D3"/>
    <w:rsid w:val="00C149FC"/>
    <w:rsid w:val="00C16707"/>
    <w:rsid w:val="00C2413D"/>
    <w:rsid w:val="00C26EA9"/>
    <w:rsid w:val="00C274FF"/>
    <w:rsid w:val="00C30227"/>
    <w:rsid w:val="00C37C27"/>
    <w:rsid w:val="00C41D2E"/>
    <w:rsid w:val="00C45D7B"/>
    <w:rsid w:val="00C4755A"/>
    <w:rsid w:val="00C5393A"/>
    <w:rsid w:val="00C577EF"/>
    <w:rsid w:val="00C57D68"/>
    <w:rsid w:val="00C71156"/>
    <w:rsid w:val="00C76793"/>
    <w:rsid w:val="00C8475A"/>
    <w:rsid w:val="00C85F99"/>
    <w:rsid w:val="00C864FE"/>
    <w:rsid w:val="00C9108A"/>
    <w:rsid w:val="00C92277"/>
    <w:rsid w:val="00C93FDD"/>
    <w:rsid w:val="00C948C8"/>
    <w:rsid w:val="00CA4601"/>
    <w:rsid w:val="00CB3A93"/>
    <w:rsid w:val="00CB6D94"/>
    <w:rsid w:val="00CC01F9"/>
    <w:rsid w:val="00CC1BCA"/>
    <w:rsid w:val="00CC1DF4"/>
    <w:rsid w:val="00CC233C"/>
    <w:rsid w:val="00CC2D2F"/>
    <w:rsid w:val="00CC2F21"/>
    <w:rsid w:val="00CC3CD6"/>
    <w:rsid w:val="00CC6C43"/>
    <w:rsid w:val="00CD1A95"/>
    <w:rsid w:val="00CD28F3"/>
    <w:rsid w:val="00CD6E73"/>
    <w:rsid w:val="00CE2347"/>
    <w:rsid w:val="00CE7223"/>
    <w:rsid w:val="00CF5C4E"/>
    <w:rsid w:val="00D00A26"/>
    <w:rsid w:val="00D00F6E"/>
    <w:rsid w:val="00D0213C"/>
    <w:rsid w:val="00D023C6"/>
    <w:rsid w:val="00D03F6A"/>
    <w:rsid w:val="00D04775"/>
    <w:rsid w:val="00D0625F"/>
    <w:rsid w:val="00D0748B"/>
    <w:rsid w:val="00D07C2D"/>
    <w:rsid w:val="00D11396"/>
    <w:rsid w:val="00D2334B"/>
    <w:rsid w:val="00D2650E"/>
    <w:rsid w:val="00D27778"/>
    <w:rsid w:val="00D31506"/>
    <w:rsid w:val="00D34031"/>
    <w:rsid w:val="00D4074A"/>
    <w:rsid w:val="00D4352B"/>
    <w:rsid w:val="00D46B16"/>
    <w:rsid w:val="00D519CC"/>
    <w:rsid w:val="00D54C63"/>
    <w:rsid w:val="00D673FE"/>
    <w:rsid w:val="00D7065D"/>
    <w:rsid w:val="00D80391"/>
    <w:rsid w:val="00D80551"/>
    <w:rsid w:val="00D85EE5"/>
    <w:rsid w:val="00D86132"/>
    <w:rsid w:val="00D94724"/>
    <w:rsid w:val="00DA0673"/>
    <w:rsid w:val="00DA68AE"/>
    <w:rsid w:val="00DB3651"/>
    <w:rsid w:val="00DB3C1F"/>
    <w:rsid w:val="00DB45A1"/>
    <w:rsid w:val="00DB4CF6"/>
    <w:rsid w:val="00DC359D"/>
    <w:rsid w:val="00DC487A"/>
    <w:rsid w:val="00DD5B03"/>
    <w:rsid w:val="00DE4012"/>
    <w:rsid w:val="00DE4016"/>
    <w:rsid w:val="00DE6917"/>
    <w:rsid w:val="00E00459"/>
    <w:rsid w:val="00E01959"/>
    <w:rsid w:val="00E0598B"/>
    <w:rsid w:val="00E05DCF"/>
    <w:rsid w:val="00E13F9C"/>
    <w:rsid w:val="00E16342"/>
    <w:rsid w:val="00E1690C"/>
    <w:rsid w:val="00E20D1A"/>
    <w:rsid w:val="00E255B7"/>
    <w:rsid w:val="00E262C7"/>
    <w:rsid w:val="00E3167B"/>
    <w:rsid w:val="00E35E6B"/>
    <w:rsid w:val="00E36034"/>
    <w:rsid w:val="00E44084"/>
    <w:rsid w:val="00E464F0"/>
    <w:rsid w:val="00E61794"/>
    <w:rsid w:val="00E61BAB"/>
    <w:rsid w:val="00E6371B"/>
    <w:rsid w:val="00E6479D"/>
    <w:rsid w:val="00E67E7E"/>
    <w:rsid w:val="00E73132"/>
    <w:rsid w:val="00E73EA8"/>
    <w:rsid w:val="00E745E2"/>
    <w:rsid w:val="00E82138"/>
    <w:rsid w:val="00E8320F"/>
    <w:rsid w:val="00E94A9A"/>
    <w:rsid w:val="00EA0356"/>
    <w:rsid w:val="00EA037A"/>
    <w:rsid w:val="00EA0724"/>
    <w:rsid w:val="00EA5E6B"/>
    <w:rsid w:val="00EA7EE7"/>
    <w:rsid w:val="00EB153A"/>
    <w:rsid w:val="00EB1700"/>
    <w:rsid w:val="00EB18D3"/>
    <w:rsid w:val="00EB4549"/>
    <w:rsid w:val="00EB5B47"/>
    <w:rsid w:val="00EB5C71"/>
    <w:rsid w:val="00EB6BA1"/>
    <w:rsid w:val="00EC02C4"/>
    <w:rsid w:val="00EC05DD"/>
    <w:rsid w:val="00EC38D8"/>
    <w:rsid w:val="00EC7C01"/>
    <w:rsid w:val="00ED0518"/>
    <w:rsid w:val="00ED3223"/>
    <w:rsid w:val="00ED47B9"/>
    <w:rsid w:val="00ED5CEC"/>
    <w:rsid w:val="00ED60A9"/>
    <w:rsid w:val="00ED63A8"/>
    <w:rsid w:val="00EE0DF0"/>
    <w:rsid w:val="00EE3292"/>
    <w:rsid w:val="00EE4B53"/>
    <w:rsid w:val="00EE4C72"/>
    <w:rsid w:val="00EE54CB"/>
    <w:rsid w:val="00EF1CDE"/>
    <w:rsid w:val="00EF3EE7"/>
    <w:rsid w:val="00F03A10"/>
    <w:rsid w:val="00F100D6"/>
    <w:rsid w:val="00F12E76"/>
    <w:rsid w:val="00F13282"/>
    <w:rsid w:val="00F159E2"/>
    <w:rsid w:val="00F201E0"/>
    <w:rsid w:val="00F20875"/>
    <w:rsid w:val="00F22849"/>
    <w:rsid w:val="00F23918"/>
    <w:rsid w:val="00F3161C"/>
    <w:rsid w:val="00F32759"/>
    <w:rsid w:val="00F355BB"/>
    <w:rsid w:val="00F36B3C"/>
    <w:rsid w:val="00F40478"/>
    <w:rsid w:val="00F4173D"/>
    <w:rsid w:val="00F41FC1"/>
    <w:rsid w:val="00F43A8D"/>
    <w:rsid w:val="00F478F3"/>
    <w:rsid w:val="00F53584"/>
    <w:rsid w:val="00F53D14"/>
    <w:rsid w:val="00F55EB7"/>
    <w:rsid w:val="00F606E9"/>
    <w:rsid w:val="00F608A3"/>
    <w:rsid w:val="00F62870"/>
    <w:rsid w:val="00F71227"/>
    <w:rsid w:val="00F71B7C"/>
    <w:rsid w:val="00F71CA0"/>
    <w:rsid w:val="00F756D6"/>
    <w:rsid w:val="00F818C5"/>
    <w:rsid w:val="00F8239A"/>
    <w:rsid w:val="00F83687"/>
    <w:rsid w:val="00F8467A"/>
    <w:rsid w:val="00F84975"/>
    <w:rsid w:val="00F84E33"/>
    <w:rsid w:val="00F85996"/>
    <w:rsid w:val="00F87A5C"/>
    <w:rsid w:val="00F91E18"/>
    <w:rsid w:val="00F93EC8"/>
    <w:rsid w:val="00FA0A34"/>
    <w:rsid w:val="00FA1F9E"/>
    <w:rsid w:val="00FA3A0C"/>
    <w:rsid w:val="00FA7DD2"/>
    <w:rsid w:val="00FB017B"/>
    <w:rsid w:val="00FB07AA"/>
    <w:rsid w:val="00FB0DF7"/>
    <w:rsid w:val="00FB6FC2"/>
    <w:rsid w:val="00FB7BBE"/>
    <w:rsid w:val="00FB7DBB"/>
    <w:rsid w:val="00FC1B98"/>
    <w:rsid w:val="00FC1D2F"/>
    <w:rsid w:val="00FC2645"/>
    <w:rsid w:val="00FC4DE9"/>
    <w:rsid w:val="00FD15E6"/>
    <w:rsid w:val="00FD1A0F"/>
    <w:rsid w:val="00FD1B81"/>
    <w:rsid w:val="00FD2ADC"/>
    <w:rsid w:val="00FD6B5E"/>
    <w:rsid w:val="00FD6D4C"/>
    <w:rsid w:val="00FD7E93"/>
    <w:rsid w:val="00FE079C"/>
    <w:rsid w:val="00FE4D76"/>
    <w:rsid w:val="00FE70B3"/>
    <w:rsid w:val="00FF36E5"/>
    <w:rsid w:val="00FF5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B38C7-CA5A-4868-A531-B4BC42D0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pPr>
      <w:keepNext/>
      <w:ind w:left="-284"/>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tabs>
        <w:tab w:val="left" w:pos="2127"/>
        <w:tab w:val="left" w:pos="3119"/>
        <w:tab w:val="left" w:pos="4253"/>
        <w:tab w:val="left" w:pos="5670"/>
        <w:tab w:val="left" w:pos="6946"/>
        <w:tab w:val="left" w:pos="7938"/>
      </w:tabs>
      <w:ind w:left="-284" w:right="-284" w:firstLine="284"/>
      <w:jc w:val="center"/>
    </w:pPr>
    <w:rPr>
      <w:b/>
      <w:bCs/>
      <w:sz w:val="28"/>
    </w:rPr>
  </w:style>
  <w:style w:type="paragraph" w:styleId="Sprechblasentext">
    <w:name w:val="Balloon Text"/>
    <w:basedOn w:val="Standard"/>
    <w:link w:val="SprechblasentextZchn"/>
    <w:uiPriority w:val="99"/>
    <w:semiHidden/>
    <w:unhideWhenUsed/>
    <w:rsid w:val="000A69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9BE"/>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4" b="1" i="0" u="none" strike="noStrike" baseline="0">
                <a:solidFill>
                  <a:srgbClr val="000000"/>
                </a:solidFill>
                <a:latin typeface="Arial"/>
                <a:ea typeface="Arial"/>
                <a:cs typeface="Arial"/>
              </a:defRPr>
            </a:pPr>
            <a:r>
              <a:rPr lang="de-AT"/>
              <a:t> Kühe  netto</a:t>
            </a:r>
          </a:p>
        </c:rich>
      </c:tx>
      <c:layout>
        <c:manualLayout>
          <c:xMode val="edge"/>
          <c:yMode val="edge"/>
          <c:x val="0.42684766214177977"/>
          <c:y val="0"/>
        </c:manualLayout>
      </c:layout>
      <c:overlay val="0"/>
      <c:spPr>
        <a:noFill/>
        <a:ln w="20133">
          <a:noFill/>
        </a:ln>
      </c:spPr>
    </c:title>
    <c:autoTitleDeleted val="0"/>
    <c:plotArea>
      <c:layout>
        <c:manualLayout>
          <c:layoutTarget val="inner"/>
          <c:xMode val="edge"/>
          <c:yMode val="edge"/>
          <c:x val="9.0497737556561084E-2"/>
          <c:y val="0.19796954314720813"/>
          <c:w val="0.83107088989441935"/>
          <c:h val="0.65989847715736039"/>
        </c:manualLayout>
      </c:layout>
      <c:lineChart>
        <c:grouping val="standard"/>
        <c:varyColors val="0"/>
        <c:ser>
          <c:idx val="0"/>
          <c:order val="0"/>
          <c:tx>
            <c:strRef>
              <c:f>Sheet1!$A$2</c:f>
              <c:strCache>
                <c:ptCount val="1"/>
                <c:pt idx="0">
                  <c:v>2015</c:v>
                </c:pt>
              </c:strCache>
            </c:strRef>
          </c:tx>
          <c:spPr>
            <a:ln w="20133">
              <a:solidFill>
                <a:srgbClr val="000080"/>
              </a:solidFill>
              <a:prstDash val="solid"/>
            </a:ln>
          </c:spPr>
          <c:marker>
            <c:symbol val="diamond"/>
            <c:size val="3"/>
            <c:spPr>
              <a:solidFill>
                <a:srgbClr val="000080"/>
              </a:solidFill>
              <a:ln>
                <a:solidFill>
                  <a:srgbClr val="000080"/>
                </a:solidFill>
                <a:prstDash val="solid"/>
              </a:ln>
            </c:spPr>
          </c:marker>
          <c:cat>
            <c:strRef>
              <c:f>Sheet1!$B$1:$J$1</c:f>
              <c:strCache>
                <c:ptCount val="9"/>
                <c:pt idx="0">
                  <c:v>Jän./Feb.</c:v>
                </c:pt>
                <c:pt idx="1">
                  <c:v>März</c:v>
                </c:pt>
                <c:pt idx="2">
                  <c:v>April/Mai</c:v>
                </c:pt>
                <c:pt idx="3">
                  <c:v>Juni</c:v>
                </c:pt>
                <c:pt idx="4">
                  <c:v>Juli</c:v>
                </c:pt>
                <c:pt idx="5">
                  <c:v>Aug.</c:v>
                </c:pt>
                <c:pt idx="6">
                  <c:v>Sept.</c:v>
                </c:pt>
                <c:pt idx="7">
                  <c:v>Okt.</c:v>
                </c:pt>
                <c:pt idx="8">
                  <c:v>Dez.</c:v>
                </c:pt>
              </c:strCache>
            </c:strRef>
          </c:cat>
          <c:val>
            <c:numRef>
              <c:f>Sheet1!$B$2:$J$2</c:f>
              <c:numCache>
                <c:formatCode>General</c:formatCode>
                <c:ptCount val="9"/>
                <c:pt idx="0">
                  <c:v>1656</c:v>
                </c:pt>
                <c:pt idx="1">
                  <c:v>1774</c:v>
                </c:pt>
                <c:pt idx="2">
                  <c:v>1851</c:v>
                </c:pt>
                <c:pt idx="3">
                  <c:v>1797</c:v>
                </c:pt>
                <c:pt idx="4">
                  <c:v>1878</c:v>
                </c:pt>
                <c:pt idx="5">
                  <c:v>1823</c:v>
                </c:pt>
                <c:pt idx="6">
                  <c:v>1646</c:v>
                </c:pt>
                <c:pt idx="7">
                  <c:v>1678</c:v>
                </c:pt>
                <c:pt idx="8">
                  <c:v>1649</c:v>
                </c:pt>
              </c:numCache>
            </c:numRef>
          </c:val>
          <c:smooth val="0"/>
          <c:extLst>
            <c:ext xmlns:c16="http://schemas.microsoft.com/office/drawing/2014/chart" uri="{C3380CC4-5D6E-409C-BE32-E72D297353CC}">
              <c16:uniqueId val="{00000000-B419-43CE-8124-63BADBBAE6DD}"/>
            </c:ext>
          </c:extLst>
        </c:ser>
        <c:ser>
          <c:idx val="2"/>
          <c:order val="1"/>
          <c:tx>
            <c:strRef>
              <c:f>Sheet1!$A$3</c:f>
              <c:strCache>
                <c:ptCount val="1"/>
                <c:pt idx="0">
                  <c:v>2016</c:v>
                </c:pt>
              </c:strCache>
            </c:strRef>
          </c:tx>
          <c:spPr>
            <a:ln w="20133">
              <a:solidFill>
                <a:srgbClr val="FF00FF"/>
              </a:solidFill>
              <a:prstDash val="solid"/>
            </a:ln>
          </c:spPr>
          <c:marker>
            <c:symbol val="triangle"/>
            <c:size val="3"/>
            <c:spPr>
              <a:solidFill>
                <a:srgbClr val="FF00FF"/>
              </a:solidFill>
              <a:ln>
                <a:solidFill>
                  <a:srgbClr val="FF00FF"/>
                </a:solidFill>
                <a:prstDash val="solid"/>
              </a:ln>
            </c:spPr>
          </c:marker>
          <c:cat>
            <c:strRef>
              <c:f>Sheet1!$B$1:$J$1</c:f>
              <c:strCache>
                <c:ptCount val="9"/>
                <c:pt idx="0">
                  <c:v>Jän./Feb.</c:v>
                </c:pt>
                <c:pt idx="1">
                  <c:v>März</c:v>
                </c:pt>
                <c:pt idx="2">
                  <c:v>April/Mai</c:v>
                </c:pt>
                <c:pt idx="3">
                  <c:v>Juni</c:v>
                </c:pt>
                <c:pt idx="4">
                  <c:v>Juli</c:v>
                </c:pt>
                <c:pt idx="5">
                  <c:v>Aug.</c:v>
                </c:pt>
                <c:pt idx="6">
                  <c:v>Sept.</c:v>
                </c:pt>
                <c:pt idx="7">
                  <c:v>Okt.</c:v>
                </c:pt>
                <c:pt idx="8">
                  <c:v>Dez.</c:v>
                </c:pt>
              </c:strCache>
            </c:strRef>
          </c:cat>
          <c:val>
            <c:numRef>
              <c:f>Sheet1!$B$3:$J$3</c:f>
              <c:numCache>
                <c:formatCode>General</c:formatCode>
                <c:ptCount val="9"/>
                <c:pt idx="0">
                  <c:v>1586</c:v>
                </c:pt>
                <c:pt idx="1">
                  <c:v>1595</c:v>
                </c:pt>
                <c:pt idx="2">
                  <c:v>1597</c:v>
                </c:pt>
                <c:pt idx="3">
                  <c:v>1520</c:v>
                </c:pt>
                <c:pt idx="4">
                  <c:v>1709</c:v>
                </c:pt>
                <c:pt idx="5">
                  <c:v>1566</c:v>
                </c:pt>
                <c:pt idx="6">
                  <c:v>1716</c:v>
                </c:pt>
                <c:pt idx="7">
                  <c:v>1790</c:v>
                </c:pt>
                <c:pt idx="8">
                  <c:v>1945.26</c:v>
                </c:pt>
              </c:numCache>
            </c:numRef>
          </c:val>
          <c:smooth val="0"/>
          <c:extLst>
            <c:ext xmlns:c16="http://schemas.microsoft.com/office/drawing/2014/chart" uri="{C3380CC4-5D6E-409C-BE32-E72D297353CC}">
              <c16:uniqueId val="{00000001-B419-43CE-8124-63BADBBAE6DD}"/>
            </c:ext>
          </c:extLst>
        </c:ser>
        <c:ser>
          <c:idx val="1"/>
          <c:order val="2"/>
          <c:tx>
            <c:strRef>
              <c:f>Sheet1!$A$4</c:f>
              <c:strCache>
                <c:ptCount val="1"/>
                <c:pt idx="0">
                  <c:v>2017</c:v>
                </c:pt>
              </c:strCache>
            </c:strRef>
          </c:tx>
          <c:spPr>
            <a:ln w="30200">
              <a:solidFill>
                <a:srgbClr val="339966"/>
              </a:solidFill>
              <a:prstDash val="solid"/>
            </a:ln>
          </c:spPr>
          <c:marker>
            <c:symbol val="triangle"/>
            <c:size val="7"/>
            <c:spPr>
              <a:solidFill>
                <a:srgbClr val="339966"/>
              </a:solidFill>
              <a:ln>
                <a:solidFill>
                  <a:srgbClr val="339966"/>
                </a:solidFill>
                <a:prstDash val="solid"/>
              </a:ln>
            </c:spPr>
          </c:marker>
          <c:cat>
            <c:strRef>
              <c:f>Sheet1!$B$1:$J$1</c:f>
              <c:strCache>
                <c:ptCount val="9"/>
                <c:pt idx="0">
                  <c:v>Jän./Feb.</c:v>
                </c:pt>
                <c:pt idx="1">
                  <c:v>März</c:v>
                </c:pt>
                <c:pt idx="2">
                  <c:v>April/Mai</c:v>
                </c:pt>
                <c:pt idx="3">
                  <c:v>Juni</c:v>
                </c:pt>
                <c:pt idx="4">
                  <c:v>Juli</c:v>
                </c:pt>
                <c:pt idx="5">
                  <c:v>Aug.</c:v>
                </c:pt>
                <c:pt idx="6">
                  <c:v>Sept.</c:v>
                </c:pt>
                <c:pt idx="7">
                  <c:v>Okt.</c:v>
                </c:pt>
                <c:pt idx="8">
                  <c:v>Dez.</c:v>
                </c:pt>
              </c:strCache>
            </c:strRef>
          </c:cat>
          <c:val>
            <c:numRef>
              <c:f>Sheet1!$B$4:$J$4</c:f>
              <c:numCache>
                <c:formatCode>General</c:formatCode>
                <c:ptCount val="9"/>
                <c:pt idx="0">
                  <c:v>1735</c:v>
                </c:pt>
                <c:pt idx="1">
                  <c:v>1670</c:v>
                </c:pt>
                <c:pt idx="2">
                  <c:v>1956</c:v>
                </c:pt>
                <c:pt idx="3">
                  <c:v>1935</c:v>
                </c:pt>
                <c:pt idx="4">
                  <c:v>1956</c:v>
                </c:pt>
                <c:pt idx="5">
                  <c:v>1991</c:v>
                </c:pt>
                <c:pt idx="6">
                  <c:v>1910</c:v>
                </c:pt>
                <c:pt idx="7">
                  <c:v>2035</c:v>
                </c:pt>
                <c:pt idx="8">
                  <c:v>2023</c:v>
                </c:pt>
              </c:numCache>
            </c:numRef>
          </c:val>
          <c:smooth val="0"/>
          <c:extLst>
            <c:ext xmlns:c16="http://schemas.microsoft.com/office/drawing/2014/chart" uri="{C3380CC4-5D6E-409C-BE32-E72D297353CC}">
              <c16:uniqueId val="{00000002-B419-43CE-8124-63BADBBAE6DD}"/>
            </c:ext>
          </c:extLst>
        </c:ser>
        <c:dLbls>
          <c:showLegendKey val="0"/>
          <c:showVal val="0"/>
          <c:showCatName val="0"/>
          <c:showSerName val="0"/>
          <c:showPercent val="0"/>
          <c:showBubbleSize val="0"/>
        </c:dLbls>
        <c:marker val="1"/>
        <c:smooth val="0"/>
        <c:axId val="157016480"/>
        <c:axId val="1"/>
      </c:lineChart>
      <c:catAx>
        <c:axId val="157016480"/>
        <c:scaling>
          <c:orientation val="minMax"/>
        </c:scaling>
        <c:delete val="0"/>
        <c:axPos val="b"/>
        <c:numFmt formatCode="General" sourceLinked="1"/>
        <c:majorTickMark val="out"/>
        <c:minorTickMark val="none"/>
        <c:tickLblPos val="nextTo"/>
        <c:spPr>
          <a:ln w="2517">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2150"/>
          <c:min val="1350"/>
        </c:scaling>
        <c:delete val="0"/>
        <c:axPos val="l"/>
        <c:majorGridlines>
          <c:spPr>
            <a:ln w="2517">
              <a:solidFill>
                <a:srgbClr val="000000"/>
              </a:solidFill>
              <a:prstDash val="solid"/>
            </a:ln>
          </c:spPr>
        </c:majorGridlines>
        <c:numFmt formatCode="#.000" sourceLinked="0"/>
        <c:majorTickMark val="out"/>
        <c:minorTickMark val="none"/>
        <c:tickLblPos val="nextTo"/>
        <c:spPr>
          <a:ln w="2517">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57016480"/>
        <c:crosses val="autoZero"/>
        <c:crossBetween val="between"/>
        <c:majorUnit val="100"/>
      </c:valAx>
      <c:spPr>
        <a:noFill/>
        <a:ln w="2517">
          <a:solidFill>
            <a:srgbClr val="000000"/>
          </a:solidFill>
          <a:prstDash val="solid"/>
        </a:ln>
      </c:spPr>
    </c:plotArea>
    <c:legend>
      <c:legendPos val="r"/>
      <c:layout>
        <c:manualLayout>
          <c:xMode val="edge"/>
          <c:yMode val="edge"/>
          <c:x val="0.80844645550527905"/>
          <c:y val="1.015228426395939E-2"/>
          <c:w val="0.10407239819004525"/>
          <c:h val="0.18274111675126903"/>
        </c:manualLayout>
      </c:layout>
      <c:overlay val="0"/>
      <c:spPr>
        <a:noFill/>
        <a:ln w="2517">
          <a:solidFill>
            <a:srgbClr val="000000"/>
          </a:solidFill>
          <a:prstDash val="solid"/>
        </a:ln>
      </c:spPr>
      <c:txPr>
        <a:bodyPr/>
        <a:lstStyle/>
        <a:p>
          <a:pPr>
            <a:defRPr sz="598" b="1" i="0" u="none" strike="noStrike" baseline="0">
              <a:solidFill>
                <a:srgbClr val="000000"/>
              </a:solidFill>
              <a:latin typeface="Arial"/>
              <a:ea typeface="Arial"/>
              <a:cs typeface="Arial"/>
            </a:defRPr>
          </a:pPr>
          <a:endParaRPr lang="de-DE"/>
        </a:p>
      </c:txPr>
    </c:legend>
    <c:plotVisOnly val="1"/>
    <c:dispBlanksAs val="gap"/>
    <c:showDLblsOverMax val="0"/>
  </c:chart>
  <c:spPr>
    <a:pattFill prst="pct5">
      <a:fgClr>
        <a:srgbClr val="FFFFFF"/>
      </a:fgClr>
      <a:bgClr>
        <a:srgbClr val="FFFFFF"/>
      </a:bgClr>
    </a:pattFill>
    <a:ln>
      <a:noFill/>
    </a:ln>
  </c:spPr>
  <c:txPr>
    <a:bodyPr/>
    <a:lstStyle/>
    <a:p>
      <a:pPr>
        <a:defRPr sz="694" b="1"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5" b="1" i="0" u="none" strike="noStrike" baseline="0">
                <a:solidFill>
                  <a:srgbClr val="000000"/>
                </a:solidFill>
                <a:latin typeface="Arial"/>
                <a:ea typeface="Arial"/>
                <a:cs typeface="Arial"/>
              </a:defRPr>
            </a:pPr>
            <a:r>
              <a:rPr lang="de-AT"/>
              <a:t>Kalbinnen netto</a:t>
            </a:r>
          </a:p>
        </c:rich>
      </c:tx>
      <c:layout>
        <c:manualLayout>
          <c:xMode val="edge"/>
          <c:yMode val="edge"/>
          <c:x val="0.43053435114503819"/>
          <c:y val="1.9801980198019802E-2"/>
        </c:manualLayout>
      </c:layout>
      <c:overlay val="0"/>
      <c:spPr>
        <a:noFill/>
        <a:ln w="20162">
          <a:noFill/>
        </a:ln>
      </c:spPr>
    </c:title>
    <c:autoTitleDeleted val="0"/>
    <c:plotArea>
      <c:layout>
        <c:manualLayout>
          <c:layoutTarget val="inner"/>
          <c:xMode val="edge"/>
          <c:yMode val="edge"/>
          <c:x val="9.1603053435114504E-2"/>
          <c:y val="0.18316831683168316"/>
          <c:w val="0.83053435114503815"/>
          <c:h val="0.67821782178217827"/>
        </c:manualLayout>
      </c:layout>
      <c:lineChart>
        <c:grouping val="standard"/>
        <c:varyColors val="0"/>
        <c:ser>
          <c:idx val="0"/>
          <c:order val="0"/>
          <c:tx>
            <c:strRef>
              <c:f>Sheet1!$A$2</c:f>
              <c:strCache>
                <c:ptCount val="1"/>
                <c:pt idx="0">
                  <c:v>2015</c:v>
                </c:pt>
              </c:strCache>
            </c:strRef>
          </c:tx>
          <c:spPr>
            <a:ln w="20162">
              <a:solidFill>
                <a:srgbClr val="000080"/>
              </a:solidFill>
              <a:prstDash val="solid"/>
            </a:ln>
          </c:spPr>
          <c:marker>
            <c:symbol val="diamond"/>
            <c:size val="3"/>
            <c:spPr>
              <a:solidFill>
                <a:srgbClr val="000080"/>
              </a:solidFill>
              <a:ln>
                <a:solidFill>
                  <a:srgbClr val="000080"/>
                </a:solidFill>
                <a:prstDash val="solid"/>
              </a:ln>
            </c:spPr>
          </c:marker>
          <c:cat>
            <c:strRef>
              <c:f>Sheet1!$B$1:$J$1</c:f>
              <c:strCache>
                <c:ptCount val="9"/>
                <c:pt idx="0">
                  <c:v>Jän./Feb</c:v>
                </c:pt>
                <c:pt idx="1">
                  <c:v>März</c:v>
                </c:pt>
                <c:pt idx="2">
                  <c:v>April</c:v>
                </c:pt>
                <c:pt idx="3">
                  <c:v>Mai/Juni</c:v>
                </c:pt>
                <c:pt idx="4">
                  <c:v>Juli</c:v>
                </c:pt>
                <c:pt idx="5">
                  <c:v>Aug.</c:v>
                </c:pt>
                <c:pt idx="6">
                  <c:v>Sept.</c:v>
                </c:pt>
                <c:pt idx="7">
                  <c:v>Okt.</c:v>
                </c:pt>
                <c:pt idx="8">
                  <c:v>Dez.</c:v>
                </c:pt>
              </c:strCache>
            </c:strRef>
          </c:cat>
          <c:val>
            <c:numRef>
              <c:f>Sheet1!$B$2:$J$2</c:f>
              <c:numCache>
                <c:formatCode>General</c:formatCode>
                <c:ptCount val="9"/>
                <c:pt idx="0">
                  <c:v>1657</c:v>
                </c:pt>
                <c:pt idx="1">
                  <c:v>1910</c:v>
                </c:pt>
                <c:pt idx="2">
                  <c:v>1950</c:v>
                </c:pt>
                <c:pt idx="3">
                  <c:v>1818</c:v>
                </c:pt>
                <c:pt idx="4">
                  <c:v>1791</c:v>
                </c:pt>
                <c:pt idx="5">
                  <c:v>1757</c:v>
                </c:pt>
                <c:pt idx="6">
                  <c:v>1636</c:v>
                </c:pt>
                <c:pt idx="7">
                  <c:v>1601</c:v>
                </c:pt>
                <c:pt idx="8">
                  <c:v>1570</c:v>
                </c:pt>
              </c:numCache>
            </c:numRef>
          </c:val>
          <c:smooth val="0"/>
          <c:extLst>
            <c:ext xmlns:c16="http://schemas.microsoft.com/office/drawing/2014/chart" uri="{C3380CC4-5D6E-409C-BE32-E72D297353CC}">
              <c16:uniqueId val="{00000000-103F-474F-BAA9-114472FB69A3}"/>
            </c:ext>
          </c:extLst>
        </c:ser>
        <c:ser>
          <c:idx val="1"/>
          <c:order val="1"/>
          <c:tx>
            <c:strRef>
              <c:f>Sheet1!$A$3</c:f>
              <c:strCache>
                <c:ptCount val="1"/>
                <c:pt idx="0">
                  <c:v>2016</c:v>
                </c:pt>
              </c:strCache>
            </c:strRef>
          </c:tx>
          <c:spPr>
            <a:ln w="20162">
              <a:solidFill>
                <a:srgbClr val="FF00FF"/>
              </a:solidFill>
              <a:prstDash val="solid"/>
            </a:ln>
          </c:spPr>
          <c:marker>
            <c:symbol val="square"/>
            <c:size val="3"/>
            <c:spPr>
              <a:solidFill>
                <a:srgbClr val="FF00FF"/>
              </a:solidFill>
              <a:ln>
                <a:solidFill>
                  <a:srgbClr val="FF00FF"/>
                </a:solidFill>
                <a:prstDash val="solid"/>
              </a:ln>
            </c:spPr>
          </c:marker>
          <c:cat>
            <c:strRef>
              <c:f>Sheet1!$B$1:$J$1</c:f>
              <c:strCache>
                <c:ptCount val="9"/>
                <c:pt idx="0">
                  <c:v>Jän./Feb</c:v>
                </c:pt>
                <c:pt idx="1">
                  <c:v>März</c:v>
                </c:pt>
                <c:pt idx="2">
                  <c:v>April</c:v>
                </c:pt>
                <c:pt idx="3">
                  <c:v>Mai/Juni</c:v>
                </c:pt>
                <c:pt idx="4">
                  <c:v>Juli</c:v>
                </c:pt>
                <c:pt idx="5">
                  <c:v>Aug.</c:v>
                </c:pt>
                <c:pt idx="6">
                  <c:v>Sept.</c:v>
                </c:pt>
                <c:pt idx="7">
                  <c:v>Okt.</c:v>
                </c:pt>
                <c:pt idx="8">
                  <c:v>Dez.</c:v>
                </c:pt>
              </c:strCache>
            </c:strRef>
          </c:cat>
          <c:val>
            <c:numRef>
              <c:f>Sheet1!$B$3:$J$3</c:f>
              <c:numCache>
                <c:formatCode>General</c:formatCode>
                <c:ptCount val="9"/>
                <c:pt idx="0">
                  <c:v>1667</c:v>
                </c:pt>
                <c:pt idx="1">
                  <c:v>1832</c:v>
                </c:pt>
                <c:pt idx="2">
                  <c:v>1832</c:v>
                </c:pt>
                <c:pt idx="3">
                  <c:v>1887</c:v>
                </c:pt>
                <c:pt idx="4">
                  <c:v>1928</c:v>
                </c:pt>
                <c:pt idx="5">
                  <c:v>1917</c:v>
                </c:pt>
                <c:pt idx="6">
                  <c:v>1906</c:v>
                </c:pt>
                <c:pt idx="7">
                  <c:v>1889</c:v>
                </c:pt>
                <c:pt idx="8">
                  <c:v>2124</c:v>
                </c:pt>
              </c:numCache>
            </c:numRef>
          </c:val>
          <c:smooth val="0"/>
          <c:extLst>
            <c:ext xmlns:c16="http://schemas.microsoft.com/office/drawing/2014/chart" uri="{C3380CC4-5D6E-409C-BE32-E72D297353CC}">
              <c16:uniqueId val="{00000001-103F-474F-BAA9-114472FB69A3}"/>
            </c:ext>
          </c:extLst>
        </c:ser>
        <c:ser>
          <c:idx val="2"/>
          <c:order val="2"/>
          <c:tx>
            <c:strRef>
              <c:f>Sheet1!$A$4</c:f>
              <c:strCache>
                <c:ptCount val="1"/>
                <c:pt idx="0">
                  <c:v>2017</c:v>
                </c:pt>
              </c:strCache>
            </c:strRef>
          </c:tx>
          <c:spPr>
            <a:ln w="30244">
              <a:solidFill>
                <a:srgbClr val="339966"/>
              </a:solidFill>
              <a:prstDash val="solid"/>
            </a:ln>
          </c:spPr>
          <c:marker>
            <c:symbol val="triangle"/>
            <c:size val="7"/>
            <c:spPr>
              <a:solidFill>
                <a:srgbClr val="339966"/>
              </a:solidFill>
              <a:ln>
                <a:solidFill>
                  <a:srgbClr val="339966"/>
                </a:solidFill>
                <a:prstDash val="solid"/>
              </a:ln>
            </c:spPr>
          </c:marker>
          <c:cat>
            <c:strRef>
              <c:f>Sheet1!$B$1:$J$1</c:f>
              <c:strCache>
                <c:ptCount val="9"/>
                <c:pt idx="0">
                  <c:v>Jän./Feb</c:v>
                </c:pt>
                <c:pt idx="1">
                  <c:v>März</c:v>
                </c:pt>
                <c:pt idx="2">
                  <c:v>April</c:v>
                </c:pt>
                <c:pt idx="3">
                  <c:v>Mai/Juni</c:v>
                </c:pt>
                <c:pt idx="4">
                  <c:v>Juli</c:v>
                </c:pt>
                <c:pt idx="5">
                  <c:v>Aug.</c:v>
                </c:pt>
                <c:pt idx="6">
                  <c:v>Sept.</c:v>
                </c:pt>
                <c:pt idx="7">
                  <c:v>Okt.</c:v>
                </c:pt>
                <c:pt idx="8">
                  <c:v>Dez.</c:v>
                </c:pt>
              </c:strCache>
            </c:strRef>
          </c:cat>
          <c:val>
            <c:numRef>
              <c:f>Sheet1!$B$4:$J$4</c:f>
              <c:numCache>
                <c:formatCode>General</c:formatCode>
                <c:ptCount val="9"/>
                <c:pt idx="0">
                  <c:v>2016</c:v>
                </c:pt>
                <c:pt idx="1">
                  <c:v>2536</c:v>
                </c:pt>
                <c:pt idx="2">
                  <c:v>2166</c:v>
                </c:pt>
                <c:pt idx="3">
                  <c:v>2091</c:v>
                </c:pt>
                <c:pt idx="4">
                  <c:v>2175</c:v>
                </c:pt>
                <c:pt idx="5">
                  <c:v>2247</c:v>
                </c:pt>
                <c:pt idx="6">
                  <c:v>2133</c:v>
                </c:pt>
                <c:pt idx="7">
                  <c:v>1959</c:v>
                </c:pt>
                <c:pt idx="8">
                  <c:v>1842</c:v>
                </c:pt>
              </c:numCache>
            </c:numRef>
          </c:val>
          <c:smooth val="0"/>
          <c:extLst>
            <c:ext xmlns:c16="http://schemas.microsoft.com/office/drawing/2014/chart" uri="{C3380CC4-5D6E-409C-BE32-E72D297353CC}">
              <c16:uniqueId val="{00000002-103F-474F-BAA9-114472FB69A3}"/>
            </c:ext>
          </c:extLst>
        </c:ser>
        <c:dLbls>
          <c:showLegendKey val="0"/>
          <c:showVal val="0"/>
          <c:showCatName val="0"/>
          <c:showSerName val="0"/>
          <c:showPercent val="0"/>
          <c:showBubbleSize val="0"/>
        </c:dLbls>
        <c:marker val="1"/>
        <c:smooth val="0"/>
        <c:axId val="157016480"/>
        <c:axId val="1"/>
      </c:lineChart>
      <c:catAx>
        <c:axId val="157016480"/>
        <c:scaling>
          <c:orientation val="minMax"/>
        </c:scaling>
        <c:delete val="0"/>
        <c:axPos val="b"/>
        <c:numFmt formatCode="General" sourceLinked="1"/>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2600"/>
          <c:min val="1500"/>
        </c:scaling>
        <c:delete val="0"/>
        <c:axPos val="l"/>
        <c:majorGridlines>
          <c:spPr>
            <a:ln w="2520">
              <a:solidFill>
                <a:srgbClr val="000000"/>
              </a:solidFill>
              <a:prstDash val="solid"/>
            </a:ln>
          </c:spPr>
        </c:majorGridlines>
        <c:numFmt formatCode="#.000" sourceLinked="0"/>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57016480"/>
        <c:crosses val="autoZero"/>
        <c:crossBetween val="between"/>
        <c:majorUnit val="100"/>
      </c:valAx>
      <c:spPr>
        <a:noFill/>
        <a:ln w="2520">
          <a:solidFill>
            <a:srgbClr val="000000"/>
          </a:solidFill>
          <a:prstDash val="solid"/>
        </a:ln>
      </c:spPr>
    </c:plotArea>
    <c:legend>
      <c:legendPos val="r"/>
      <c:layout>
        <c:manualLayout>
          <c:xMode val="edge"/>
          <c:yMode val="edge"/>
          <c:x val="0.83206106870229013"/>
          <c:y val="0"/>
          <c:w val="9.6183206106870228E-2"/>
          <c:h val="0.17821782178217821"/>
        </c:manualLayout>
      </c:layout>
      <c:overlay val="0"/>
      <c:spPr>
        <a:noFill/>
        <a:ln w="2520">
          <a:solidFill>
            <a:srgbClr val="000000"/>
          </a:solidFill>
          <a:prstDash val="solid"/>
        </a:ln>
      </c:spPr>
      <c:txPr>
        <a:bodyPr/>
        <a:lstStyle/>
        <a:p>
          <a:pPr>
            <a:defRPr sz="583" b="1" i="0" u="none" strike="noStrike" baseline="0">
              <a:solidFill>
                <a:srgbClr val="000000"/>
              </a:solidFill>
              <a:latin typeface="Arial"/>
              <a:ea typeface="Arial"/>
              <a:cs typeface="Arial"/>
            </a:defRPr>
          </a:pPr>
          <a:endParaRPr lang="de-DE"/>
        </a:p>
      </c:txPr>
    </c:legend>
    <c:plotVisOnly val="1"/>
    <c:dispBlanksAs val="gap"/>
    <c:showDLblsOverMax val="0"/>
  </c:chart>
  <c:spPr>
    <a:pattFill prst="pct5">
      <a:fgClr>
        <a:srgbClr val="FFFFFF"/>
      </a:fgClr>
      <a:bgClr>
        <a:srgbClr val="FFFFFF"/>
      </a:bgClr>
    </a:pattFill>
    <a:ln>
      <a:noFill/>
    </a:ln>
  </c:spPr>
  <c:txPr>
    <a:bodyPr/>
    <a:lstStyle/>
    <a:p>
      <a:pPr>
        <a:defRPr sz="714" b="1"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4" b="1" i="0" u="none" strike="noStrike" baseline="0">
                <a:solidFill>
                  <a:srgbClr val="000000"/>
                </a:solidFill>
                <a:latin typeface="Arial"/>
                <a:ea typeface="Arial"/>
                <a:cs typeface="Arial"/>
              </a:defRPr>
            </a:pPr>
            <a:r>
              <a:rPr lang="de-AT"/>
              <a:t>Zuchtkälber weibl. netto</a:t>
            </a:r>
          </a:p>
        </c:rich>
      </c:tx>
      <c:layout>
        <c:manualLayout>
          <c:xMode val="edge"/>
          <c:yMode val="edge"/>
          <c:x val="0.38344594594594594"/>
          <c:y val="2.1367521367521368E-2"/>
        </c:manualLayout>
      </c:layout>
      <c:overlay val="0"/>
      <c:spPr>
        <a:noFill/>
        <a:ln w="20126">
          <a:noFill/>
        </a:ln>
      </c:spPr>
    </c:title>
    <c:autoTitleDeleted val="0"/>
    <c:plotArea>
      <c:layout>
        <c:manualLayout>
          <c:layoutTarget val="inner"/>
          <c:xMode val="edge"/>
          <c:yMode val="edge"/>
          <c:x val="7.0945945945945943E-2"/>
          <c:y val="0.17948717948717949"/>
          <c:w val="0.84966216216216217"/>
          <c:h val="0.70085470085470081"/>
        </c:manualLayout>
      </c:layout>
      <c:lineChart>
        <c:grouping val="standard"/>
        <c:varyColors val="0"/>
        <c:ser>
          <c:idx val="0"/>
          <c:order val="0"/>
          <c:tx>
            <c:strRef>
              <c:f>Sheet1!$A$2</c:f>
              <c:strCache>
                <c:ptCount val="1"/>
                <c:pt idx="0">
                  <c:v>2015</c:v>
                </c:pt>
              </c:strCache>
            </c:strRef>
          </c:tx>
          <c:spPr>
            <a:ln w="20126">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3.67</c:v>
                </c:pt>
                <c:pt idx="1">
                  <c:v>3.91</c:v>
                </c:pt>
                <c:pt idx="2">
                  <c:v>4.58</c:v>
                </c:pt>
                <c:pt idx="3">
                  <c:v>4.54</c:v>
                </c:pt>
                <c:pt idx="4">
                  <c:v>4.5599999999999996</c:v>
                </c:pt>
                <c:pt idx="5">
                  <c:v>5.22</c:v>
                </c:pt>
                <c:pt idx="6">
                  <c:v>5.7</c:v>
                </c:pt>
                <c:pt idx="7">
                  <c:v>4.84</c:v>
                </c:pt>
                <c:pt idx="8">
                  <c:v>5.12</c:v>
                </c:pt>
                <c:pt idx="9">
                  <c:v>4.57</c:v>
                </c:pt>
                <c:pt idx="10">
                  <c:v>3.9</c:v>
                </c:pt>
                <c:pt idx="11">
                  <c:v>4.54</c:v>
                </c:pt>
              </c:numCache>
            </c:numRef>
          </c:val>
          <c:smooth val="0"/>
          <c:extLst>
            <c:ext xmlns:c16="http://schemas.microsoft.com/office/drawing/2014/chart" uri="{C3380CC4-5D6E-409C-BE32-E72D297353CC}">
              <c16:uniqueId val="{00000000-7FB3-4A6C-AE82-430F1DB71A71}"/>
            </c:ext>
          </c:extLst>
        </c:ser>
        <c:ser>
          <c:idx val="1"/>
          <c:order val="1"/>
          <c:tx>
            <c:strRef>
              <c:f>Sheet1!$A$3</c:f>
              <c:strCache>
                <c:ptCount val="1"/>
                <c:pt idx="0">
                  <c:v>2016</c:v>
                </c:pt>
              </c:strCache>
            </c:strRef>
          </c:tx>
          <c:spPr>
            <a:ln w="20126">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4.3</c:v>
                </c:pt>
                <c:pt idx="1">
                  <c:v>4.41</c:v>
                </c:pt>
                <c:pt idx="2">
                  <c:v>4.45</c:v>
                </c:pt>
                <c:pt idx="3">
                  <c:v>4.6500000000000004</c:v>
                </c:pt>
                <c:pt idx="4">
                  <c:v>4.7300000000000004</c:v>
                </c:pt>
                <c:pt idx="5">
                  <c:v>4.74</c:v>
                </c:pt>
                <c:pt idx="6">
                  <c:v>4.79</c:v>
                </c:pt>
                <c:pt idx="7">
                  <c:v>4.6399999999999997</c:v>
                </c:pt>
                <c:pt idx="8">
                  <c:v>4.7699999999999996</c:v>
                </c:pt>
                <c:pt idx="9">
                  <c:v>4.2300000000000004</c:v>
                </c:pt>
                <c:pt idx="10">
                  <c:v>4.8</c:v>
                </c:pt>
                <c:pt idx="11">
                  <c:v>4.97</c:v>
                </c:pt>
              </c:numCache>
            </c:numRef>
          </c:val>
          <c:smooth val="0"/>
          <c:extLst>
            <c:ext xmlns:c16="http://schemas.microsoft.com/office/drawing/2014/chart" uri="{C3380CC4-5D6E-409C-BE32-E72D297353CC}">
              <c16:uniqueId val="{00000001-7FB3-4A6C-AE82-430F1DB71A71}"/>
            </c:ext>
          </c:extLst>
        </c:ser>
        <c:ser>
          <c:idx val="2"/>
          <c:order val="2"/>
          <c:tx>
            <c:strRef>
              <c:f>Sheet1!$A$4</c:f>
              <c:strCache>
                <c:ptCount val="1"/>
                <c:pt idx="0">
                  <c:v>2017</c:v>
                </c:pt>
              </c:strCache>
            </c:strRef>
          </c:tx>
          <c:spPr>
            <a:ln w="20126">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4.28</c:v>
                </c:pt>
                <c:pt idx="1">
                  <c:v>4.8099999999999996</c:v>
                </c:pt>
                <c:pt idx="2">
                  <c:v>4.93</c:v>
                </c:pt>
                <c:pt idx="3">
                  <c:v>5.18</c:v>
                </c:pt>
                <c:pt idx="4">
                  <c:v>5.19</c:v>
                </c:pt>
                <c:pt idx="5">
                  <c:v>5.7</c:v>
                </c:pt>
                <c:pt idx="6">
                  <c:v>5.57</c:v>
                </c:pt>
                <c:pt idx="7">
                  <c:v>4.57</c:v>
                </c:pt>
                <c:pt idx="8">
                  <c:v>4.9400000000000004</c:v>
                </c:pt>
                <c:pt idx="9">
                  <c:v>5.4</c:v>
                </c:pt>
                <c:pt idx="10">
                  <c:v>4.99</c:v>
                </c:pt>
                <c:pt idx="11">
                  <c:v>5.14</c:v>
                </c:pt>
              </c:numCache>
            </c:numRef>
          </c:val>
          <c:smooth val="0"/>
          <c:extLst>
            <c:ext xmlns:c16="http://schemas.microsoft.com/office/drawing/2014/chart" uri="{C3380CC4-5D6E-409C-BE32-E72D297353CC}">
              <c16:uniqueId val="{00000002-7FB3-4A6C-AE82-430F1DB71A71}"/>
            </c:ext>
          </c:extLst>
        </c:ser>
        <c:dLbls>
          <c:showLegendKey val="0"/>
          <c:showVal val="0"/>
          <c:showCatName val="0"/>
          <c:showSerName val="0"/>
          <c:showPercent val="0"/>
          <c:showBubbleSize val="0"/>
        </c:dLbls>
        <c:marker val="1"/>
        <c:smooth val="0"/>
        <c:axId val="157016480"/>
        <c:axId val="1"/>
      </c:lineChart>
      <c:catAx>
        <c:axId val="157016480"/>
        <c:scaling>
          <c:orientation val="minMax"/>
        </c:scaling>
        <c:delete val="0"/>
        <c:axPos val="b"/>
        <c:numFmt formatCode="General" sourceLinked="1"/>
        <c:majorTickMark val="out"/>
        <c:minorTickMark val="none"/>
        <c:tickLblPos val="nextTo"/>
        <c:spPr>
          <a:ln w="2516">
            <a:solidFill>
              <a:srgbClr val="000000"/>
            </a:solidFill>
            <a:prstDash val="solid"/>
          </a:ln>
        </c:spPr>
        <c:txPr>
          <a:bodyPr rot="0" vert="horz"/>
          <a:lstStyle/>
          <a:p>
            <a:pPr>
              <a:defRPr sz="634"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7"/>
          <c:min val="3"/>
        </c:scaling>
        <c:delete val="0"/>
        <c:axPos val="l"/>
        <c:majorGridlines>
          <c:spPr>
            <a:ln w="2516">
              <a:solidFill>
                <a:srgbClr val="000000"/>
              </a:solidFill>
              <a:prstDash val="solid"/>
            </a:ln>
          </c:spPr>
        </c:majorGridlines>
        <c:numFmt formatCode="#.000" sourceLinked="0"/>
        <c:majorTickMark val="out"/>
        <c:minorTickMark val="none"/>
        <c:tickLblPos val="nextTo"/>
        <c:spPr>
          <a:ln w="2516">
            <a:solidFill>
              <a:srgbClr val="000000"/>
            </a:solidFill>
            <a:prstDash val="solid"/>
          </a:ln>
        </c:spPr>
        <c:txPr>
          <a:bodyPr rot="0" vert="horz"/>
          <a:lstStyle/>
          <a:p>
            <a:pPr>
              <a:defRPr sz="654" b="1" i="0" u="none" strike="noStrike" baseline="0">
                <a:solidFill>
                  <a:srgbClr val="000000"/>
                </a:solidFill>
                <a:latin typeface="Arial"/>
                <a:ea typeface="Arial"/>
                <a:cs typeface="Arial"/>
              </a:defRPr>
            </a:pPr>
            <a:endParaRPr lang="de-DE"/>
          </a:p>
        </c:txPr>
        <c:crossAx val="157016480"/>
        <c:crosses val="autoZero"/>
        <c:crossBetween val="between"/>
        <c:majorUnit val="0.5"/>
      </c:valAx>
      <c:spPr>
        <a:noFill/>
        <a:ln w="2516">
          <a:solidFill>
            <a:srgbClr val="000000"/>
          </a:solidFill>
          <a:prstDash val="solid"/>
        </a:ln>
      </c:spPr>
    </c:plotArea>
    <c:legend>
      <c:legendPos val="r"/>
      <c:layout>
        <c:manualLayout>
          <c:xMode val="edge"/>
          <c:yMode val="edge"/>
          <c:x val="0.81081081081081086"/>
          <c:y val="0"/>
          <c:w val="0.1097972972972973"/>
          <c:h val="0.17094017094017094"/>
        </c:manualLayout>
      </c:layout>
      <c:overlay val="0"/>
      <c:spPr>
        <a:noFill/>
        <a:ln w="2516">
          <a:solidFill>
            <a:srgbClr val="000000"/>
          </a:solidFill>
          <a:prstDash val="solid"/>
        </a:ln>
      </c:spPr>
      <c:txPr>
        <a:bodyPr/>
        <a:lstStyle/>
        <a:p>
          <a:pPr>
            <a:defRPr sz="598"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812" b="1" i="0" u="none" strike="noStrike" baseline="0">
          <a:solidFill>
            <a:srgbClr val="000000"/>
          </a:solidFill>
          <a:latin typeface="Arial"/>
          <a:ea typeface="Arial"/>
          <a:cs typeface="Arial"/>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5" b="1" i="0" u="none" strike="noStrike" baseline="0">
                <a:solidFill>
                  <a:srgbClr val="000000"/>
                </a:solidFill>
                <a:latin typeface="Arial"/>
                <a:ea typeface="Arial"/>
                <a:cs typeface="Arial"/>
              </a:defRPr>
            </a:pPr>
            <a:r>
              <a:rPr lang="de-AT"/>
              <a:t>Stierkälber netto</a:t>
            </a:r>
          </a:p>
        </c:rich>
      </c:tx>
      <c:layout>
        <c:manualLayout>
          <c:xMode val="edge"/>
          <c:yMode val="edge"/>
          <c:x val="0.41652323580034423"/>
          <c:y val="2.1367521367521368E-2"/>
        </c:manualLayout>
      </c:layout>
      <c:overlay val="0"/>
      <c:spPr>
        <a:noFill/>
        <a:ln w="20159">
          <a:noFill/>
        </a:ln>
      </c:spPr>
    </c:title>
    <c:autoTitleDeleted val="0"/>
    <c:plotArea>
      <c:layout>
        <c:manualLayout>
          <c:layoutTarget val="inner"/>
          <c:xMode val="edge"/>
          <c:yMode val="edge"/>
          <c:x val="7.2289156626506021E-2"/>
          <c:y val="0.18376068376068377"/>
          <c:w val="0.84853700516351116"/>
          <c:h val="0.69658119658119655"/>
        </c:manualLayout>
      </c:layout>
      <c:lineChart>
        <c:grouping val="standard"/>
        <c:varyColors val="0"/>
        <c:ser>
          <c:idx val="0"/>
          <c:order val="0"/>
          <c:tx>
            <c:strRef>
              <c:f>Sheet1!$A$2</c:f>
              <c:strCache>
                <c:ptCount val="1"/>
                <c:pt idx="0">
                  <c:v>2015</c:v>
                </c:pt>
              </c:strCache>
            </c:strRef>
          </c:tx>
          <c:spPr>
            <a:ln w="20159">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4.26</c:v>
                </c:pt>
                <c:pt idx="1">
                  <c:v>4.2300000000000004</c:v>
                </c:pt>
                <c:pt idx="2">
                  <c:v>4.62</c:v>
                </c:pt>
                <c:pt idx="3">
                  <c:v>4.6399999999999997</c:v>
                </c:pt>
                <c:pt idx="4">
                  <c:v>4.68</c:v>
                </c:pt>
                <c:pt idx="5">
                  <c:v>5.13</c:v>
                </c:pt>
                <c:pt idx="6">
                  <c:v>5.46</c:v>
                </c:pt>
                <c:pt idx="7">
                  <c:v>4.9400000000000004</c:v>
                </c:pt>
                <c:pt idx="8">
                  <c:v>4.66</c:v>
                </c:pt>
                <c:pt idx="9">
                  <c:v>4.62</c:v>
                </c:pt>
                <c:pt idx="10">
                  <c:v>4.42</c:v>
                </c:pt>
                <c:pt idx="11">
                  <c:v>4.28</c:v>
                </c:pt>
              </c:numCache>
            </c:numRef>
          </c:val>
          <c:smooth val="0"/>
          <c:extLst>
            <c:ext xmlns:c16="http://schemas.microsoft.com/office/drawing/2014/chart" uri="{C3380CC4-5D6E-409C-BE32-E72D297353CC}">
              <c16:uniqueId val="{00000000-1718-4FEC-A063-4F05DDB72ABF}"/>
            </c:ext>
          </c:extLst>
        </c:ser>
        <c:ser>
          <c:idx val="1"/>
          <c:order val="1"/>
          <c:tx>
            <c:strRef>
              <c:f>Sheet1!$A$3</c:f>
              <c:strCache>
                <c:ptCount val="1"/>
                <c:pt idx="0">
                  <c:v>2016</c:v>
                </c:pt>
              </c:strCache>
            </c:strRef>
          </c:tx>
          <c:spPr>
            <a:ln w="20159">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4.26</c:v>
                </c:pt>
                <c:pt idx="1">
                  <c:v>4.67</c:v>
                </c:pt>
                <c:pt idx="2">
                  <c:v>4.83</c:v>
                </c:pt>
                <c:pt idx="3">
                  <c:v>4.7</c:v>
                </c:pt>
                <c:pt idx="4">
                  <c:v>5.22</c:v>
                </c:pt>
                <c:pt idx="5">
                  <c:v>5.45</c:v>
                </c:pt>
                <c:pt idx="6">
                  <c:v>5.62</c:v>
                </c:pt>
                <c:pt idx="7">
                  <c:v>5.3</c:v>
                </c:pt>
                <c:pt idx="8">
                  <c:v>4.87</c:v>
                </c:pt>
                <c:pt idx="9">
                  <c:v>4.6399999999999997</c:v>
                </c:pt>
                <c:pt idx="10">
                  <c:v>4.6900000000000004</c:v>
                </c:pt>
                <c:pt idx="11">
                  <c:v>4.71</c:v>
                </c:pt>
              </c:numCache>
            </c:numRef>
          </c:val>
          <c:smooth val="0"/>
          <c:extLst>
            <c:ext xmlns:c16="http://schemas.microsoft.com/office/drawing/2014/chart" uri="{C3380CC4-5D6E-409C-BE32-E72D297353CC}">
              <c16:uniqueId val="{00000001-1718-4FEC-A063-4F05DDB72ABF}"/>
            </c:ext>
          </c:extLst>
        </c:ser>
        <c:ser>
          <c:idx val="2"/>
          <c:order val="2"/>
          <c:tx>
            <c:strRef>
              <c:f>Sheet1!$A$4</c:f>
              <c:strCache>
                <c:ptCount val="1"/>
                <c:pt idx="0">
                  <c:v>2017</c:v>
                </c:pt>
              </c:strCache>
            </c:strRef>
          </c:tx>
          <c:spPr>
            <a:ln w="20159">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4.5</c:v>
                </c:pt>
                <c:pt idx="1">
                  <c:v>4.6900000000000004</c:v>
                </c:pt>
                <c:pt idx="2">
                  <c:v>5.23</c:v>
                </c:pt>
                <c:pt idx="3">
                  <c:v>5.33</c:v>
                </c:pt>
                <c:pt idx="4">
                  <c:v>5.24</c:v>
                </c:pt>
                <c:pt idx="5">
                  <c:v>5.55</c:v>
                </c:pt>
                <c:pt idx="6">
                  <c:v>5.29</c:v>
                </c:pt>
                <c:pt idx="7">
                  <c:v>4.8499999999999996</c:v>
                </c:pt>
                <c:pt idx="8">
                  <c:v>4.87</c:v>
                </c:pt>
                <c:pt idx="9">
                  <c:v>4.47</c:v>
                </c:pt>
                <c:pt idx="10">
                  <c:v>4.25</c:v>
                </c:pt>
                <c:pt idx="11">
                  <c:v>4.4800000000000004</c:v>
                </c:pt>
              </c:numCache>
            </c:numRef>
          </c:val>
          <c:smooth val="0"/>
          <c:extLst>
            <c:ext xmlns:c16="http://schemas.microsoft.com/office/drawing/2014/chart" uri="{C3380CC4-5D6E-409C-BE32-E72D297353CC}">
              <c16:uniqueId val="{00000002-1718-4FEC-A063-4F05DDB72ABF}"/>
            </c:ext>
          </c:extLst>
        </c:ser>
        <c:dLbls>
          <c:showLegendKey val="0"/>
          <c:showVal val="0"/>
          <c:showCatName val="0"/>
          <c:showSerName val="0"/>
          <c:showPercent val="0"/>
          <c:showBubbleSize val="0"/>
        </c:dLbls>
        <c:marker val="1"/>
        <c:smooth val="0"/>
        <c:axId val="157064648"/>
        <c:axId val="1"/>
      </c:lineChart>
      <c:catAx>
        <c:axId val="157064648"/>
        <c:scaling>
          <c:orientation val="minMax"/>
        </c:scaling>
        <c:delete val="0"/>
        <c:axPos val="b"/>
        <c:numFmt formatCode="General" sourceLinked="1"/>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7"/>
          <c:min val="3"/>
        </c:scaling>
        <c:delete val="0"/>
        <c:axPos val="l"/>
        <c:majorGridlines>
          <c:spPr>
            <a:ln w="2520">
              <a:solidFill>
                <a:srgbClr val="000000"/>
              </a:solidFill>
              <a:prstDash val="solid"/>
            </a:ln>
          </c:spPr>
        </c:majorGridlines>
        <c:numFmt formatCode="#.000" sourceLinked="0"/>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57064648"/>
        <c:crosses val="autoZero"/>
        <c:crossBetween val="between"/>
        <c:majorUnit val="0.5"/>
      </c:valAx>
      <c:spPr>
        <a:noFill/>
        <a:ln w="2520">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2520">
          <a:solidFill>
            <a:srgbClr val="000000"/>
          </a:solidFill>
          <a:prstDash val="solid"/>
        </a:ln>
      </c:spPr>
      <c:txPr>
        <a:bodyPr/>
        <a:lstStyle/>
        <a:p>
          <a:pPr>
            <a:defRPr sz="599" b="1" i="0" u="none" strike="noStrike" baseline="0">
              <a:solidFill>
                <a:srgbClr val="000000"/>
              </a:solidFill>
              <a:latin typeface="Arial"/>
              <a:ea typeface="Arial"/>
              <a:cs typeface="Arial"/>
            </a:defRPr>
          </a:pPr>
          <a:endParaRPr lang="de-DE"/>
        </a:p>
      </c:txPr>
    </c:legend>
    <c:plotVisOnly val="1"/>
    <c:dispBlanksAs val="gap"/>
    <c:showDLblsOverMax val="0"/>
  </c:chart>
  <c:spPr>
    <a:gradFill flip="none" rotWithShape="0">
      <a:gsLst>
        <a:gs pos="0">
          <a:srgbClr val="FFFFFF"/>
        </a:gs>
        <a:gs pos="100000">
          <a:srgbClr val="FFFFFF">
            <a:gamma/>
            <a:tint val="0"/>
            <a:invGamma/>
          </a:srgbClr>
        </a:gs>
      </a:gsLst>
      <a:lin ang="5400000" scaled="1"/>
      <a:tileRect/>
    </a:gradFill>
    <a:ln>
      <a:noFill/>
    </a:ln>
  </c:spPr>
  <c:txPr>
    <a:bodyPr/>
    <a:lstStyle/>
    <a:p>
      <a:pPr>
        <a:defRPr sz="813" b="1" i="0" u="none" strike="noStrike" baseline="0">
          <a:solidFill>
            <a:srgbClr val="000000"/>
          </a:solidFill>
          <a:latin typeface="Arial"/>
          <a:ea typeface="Arial"/>
          <a:cs typeface="Arial"/>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35" b="1" i="0" u="none" strike="noStrike" baseline="0">
                <a:solidFill>
                  <a:srgbClr val="000000"/>
                </a:solidFill>
                <a:latin typeface="Arial"/>
                <a:ea typeface="Arial"/>
                <a:cs typeface="Arial"/>
              </a:defRPr>
            </a:pPr>
            <a:r>
              <a:rPr lang="de-AT"/>
              <a:t>Nutzkälber weibl. netto</a:t>
            </a:r>
          </a:p>
        </c:rich>
      </c:tx>
      <c:layout>
        <c:manualLayout>
          <c:xMode val="edge"/>
          <c:yMode val="edge"/>
          <c:x val="0.38726333907056798"/>
          <c:y val="2.1367521367521368E-2"/>
        </c:manualLayout>
      </c:layout>
      <c:overlay val="0"/>
      <c:spPr>
        <a:noFill/>
        <a:ln w="20159">
          <a:noFill/>
        </a:ln>
      </c:spPr>
    </c:title>
    <c:autoTitleDeleted val="0"/>
    <c:plotArea>
      <c:layout>
        <c:manualLayout>
          <c:layoutTarget val="inner"/>
          <c:xMode val="edge"/>
          <c:yMode val="edge"/>
          <c:x val="7.2289156626506021E-2"/>
          <c:y val="0.2264957264957265"/>
          <c:w val="0.84853700516351116"/>
          <c:h val="0.65384615384615385"/>
        </c:manualLayout>
      </c:layout>
      <c:lineChart>
        <c:grouping val="standard"/>
        <c:varyColors val="0"/>
        <c:ser>
          <c:idx val="0"/>
          <c:order val="0"/>
          <c:tx>
            <c:strRef>
              <c:f>Sheet1!$A$2</c:f>
              <c:strCache>
                <c:ptCount val="1"/>
                <c:pt idx="0">
                  <c:v>2015</c:v>
                </c:pt>
              </c:strCache>
            </c:strRef>
          </c:tx>
          <c:spPr>
            <a:ln w="20159">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Sheet1!$B$2:$M$2</c:f>
              <c:numCache>
                <c:formatCode>General</c:formatCode>
                <c:ptCount val="12"/>
                <c:pt idx="0">
                  <c:v>3.38</c:v>
                </c:pt>
                <c:pt idx="1">
                  <c:v>3.24</c:v>
                </c:pt>
                <c:pt idx="2">
                  <c:v>3.47</c:v>
                </c:pt>
                <c:pt idx="3">
                  <c:v>3.6</c:v>
                </c:pt>
                <c:pt idx="4">
                  <c:v>3.54</c:v>
                </c:pt>
                <c:pt idx="5">
                  <c:v>4.0999999999999996</c:v>
                </c:pt>
                <c:pt idx="6">
                  <c:v>3.86</c:v>
                </c:pt>
                <c:pt idx="7">
                  <c:v>3.72</c:v>
                </c:pt>
                <c:pt idx="8">
                  <c:v>3.73</c:v>
                </c:pt>
                <c:pt idx="9">
                  <c:v>3.44</c:v>
                </c:pt>
                <c:pt idx="10">
                  <c:v>3.25</c:v>
                </c:pt>
                <c:pt idx="11">
                  <c:v>3.44</c:v>
                </c:pt>
              </c:numCache>
            </c:numRef>
          </c:val>
          <c:smooth val="0"/>
          <c:extLst>
            <c:ext xmlns:c16="http://schemas.microsoft.com/office/drawing/2014/chart" uri="{C3380CC4-5D6E-409C-BE32-E72D297353CC}">
              <c16:uniqueId val="{00000000-B291-478C-86AB-7AFA5EDED631}"/>
            </c:ext>
          </c:extLst>
        </c:ser>
        <c:ser>
          <c:idx val="1"/>
          <c:order val="1"/>
          <c:tx>
            <c:strRef>
              <c:f>Sheet1!$A$3</c:f>
              <c:strCache>
                <c:ptCount val="1"/>
                <c:pt idx="0">
                  <c:v>2016</c:v>
                </c:pt>
              </c:strCache>
            </c:strRef>
          </c:tx>
          <c:spPr>
            <a:ln w="20159">
              <a:solidFill>
                <a:srgbClr val="FF00FF"/>
              </a:solidFill>
              <a:prstDash val="solid"/>
            </a:ln>
          </c:spPr>
          <c:marker>
            <c:symbol val="square"/>
            <c:size val="3"/>
            <c:spPr>
              <a:solidFill>
                <a:srgbClr val="FF00FF"/>
              </a:solidFill>
              <a:ln>
                <a:solidFill>
                  <a:srgbClr val="FF00FF"/>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Sheet1!$B$3:$M$3</c:f>
              <c:numCache>
                <c:formatCode>General</c:formatCode>
                <c:ptCount val="12"/>
                <c:pt idx="0">
                  <c:v>3.17</c:v>
                </c:pt>
                <c:pt idx="1">
                  <c:v>3.68</c:v>
                </c:pt>
                <c:pt idx="2">
                  <c:v>3.6</c:v>
                </c:pt>
                <c:pt idx="3">
                  <c:v>3.44</c:v>
                </c:pt>
                <c:pt idx="4">
                  <c:v>3.91</c:v>
                </c:pt>
                <c:pt idx="5">
                  <c:v>3.95</c:v>
                </c:pt>
                <c:pt idx="6">
                  <c:v>3.98</c:v>
                </c:pt>
                <c:pt idx="7">
                  <c:v>3.62</c:v>
                </c:pt>
                <c:pt idx="8">
                  <c:v>3.47</c:v>
                </c:pt>
                <c:pt idx="9">
                  <c:v>3.35</c:v>
                </c:pt>
                <c:pt idx="10">
                  <c:v>3.43</c:v>
                </c:pt>
                <c:pt idx="11">
                  <c:v>3.56</c:v>
                </c:pt>
              </c:numCache>
            </c:numRef>
          </c:val>
          <c:smooth val="0"/>
          <c:extLst>
            <c:ext xmlns:c16="http://schemas.microsoft.com/office/drawing/2014/chart" uri="{C3380CC4-5D6E-409C-BE32-E72D297353CC}">
              <c16:uniqueId val="{00000001-B291-478C-86AB-7AFA5EDED631}"/>
            </c:ext>
          </c:extLst>
        </c:ser>
        <c:ser>
          <c:idx val="2"/>
          <c:order val="2"/>
          <c:tx>
            <c:strRef>
              <c:f>Sheet1!$A$4</c:f>
              <c:strCache>
                <c:ptCount val="1"/>
                <c:pt idx="0">
                  <c:v>2017</c:v>
                </c:pt>
              </c:strCache>
            </c:strRef>
          </c:tx>
          <c:spPr>
            <a:ln w="20159">
              <a:solidFill>
                <a:srgbClr val="339966"/>
              </a:solidFill>
              <a:prstDash val="solid"/>
            </a:ln>
          </c:spPr>
          <c:marker>
            <c:symbol val="triangle"/>
            <c:size val="6"/>
            <c:spPr>
              <a:solidFill>
                <a:srgbClr val="339966"/>
              </a:solidFill>
              <a:ln>
                <a:solidFill>
                  <a:srgbClr val="339966"/>
                </a:solidFill>
                <a:prstDash val="solid"/>
              </a:ln>
            </c:spPr>
          </c:marker>
          <c:cat>
            <c:strRef>
              <c:f>Sheet1!$B$1:$M$1</c:f>
              <c:strCache>
                <c:ptCount val="12"/>
                <c:pt idx="0">
                  <c:v>Jän.</c:v>
                </c:pt>
                <c:pt idx="1">
                  <c:v>Feb.</c:v>
                </c:pt>
                <c:pt idx="2">
                  <c:v>März</c:v>
                </c:pt>
                <c:pt idx="3">
                  <c:v>April</c:v>
                </c:pt>
                <c:pt idx="4">
                  <c:v>Mai</c:v>
                </c:pt>
                <c:pt idx="5">
                  <c:v>Juni</c:v>
                </c:pt>
                <c:pt idx="6">
                  <c:v>Juli</c:v>
                </c:pt>
                <c:pt idx="7">
                  <c:v>Aug.</c:v>
                </c:pt>
                <c:pt idx="8">
                  <c:v>Sept.</c:v>
                </c:pt>
                <c:pt idx="9">
                  <c:v>Okt.</c:v>
                </c:pt>
                <c:pt idx="10">
                  <c:v>Nov.</c:v>
                </c:pt>
                <c:pt idx="11">
                  <c:v>Dez.</c:v>
                </c:pt>
              </c:strCache>
            </c:strRef>
          </c:cat>
          <c:val>
            <c:numRef>
              <c:f>Sheet1!$B$4:$M$4</c:f>
              <c:numCache>
                <c:formatCode>General</c:formatCode>
                <c:ptCount val="12"/>
                <c:pt idx="0">
                  <c:v>3.46</c:v>
                </c:pt>
                <c:pt idx="1">
                  <c:v>3.33</c:v>
                </c:pt>
                <c:pt idx="2">
                  <c:v>3.53</c:v>
                </c:pt>
                <c:pt idx="3">
                  <c:v>3.79</c:v>
                </c:pt>
                <c:pt idx="4">
                  <c:v>3.99</c:v>
                </c:pt>
                <c:pt idx="5">
                  <c:v>3.75</c:v>
                </c:pt>
                <c:pt idx="6">
                  <c:v>3.61</c:v>
                </c:pt>
                <c:pt idx="7">
                  <c:v>3.42</c:v>
                </c:pt>
                <c:pt idx="8">
                  <c:v>3.23</c:v>
                </c:pt>
                <c:pt idx="9">
                  <c:v>3.22</c:v>
                </c:pt>
                <c:pt idx="10">
                  <c:v>3.24</c:v>
                </c:pt>
                <c:pt idx="11">
                  <c:v>3.28</c:v>
                </c:pt>
              </c:numCache>
            </c:numRef>
          </c:val>
          <c:smooth val="0"/>
          <c:extLst>
            <c:ext xmlns:c16="http://schemas.microsoft.com/office/drawing/2014/chart" uri="{C3380CC4-5D6E-409C-BE32-E72D297353CC}">
              <c16:uniqueId val="{00000002-B291-478C-86AB-7AFA5EDED631}"/>
            </c:ext>
          </c:extLst>
        </c:ser>
        <c:dLbls>
          <c:showLegendKey val="0"/>
          <c:showVal val="0"/>
          <c:showCatName val="0"/>
          <c:showSerName val="0"/>
          <c:showPercent val="0"/>
          <c:showBubbleSize val="0"/>
        </c:dLbls>
        <c:marker val="1"/>
        <c:smooth val="0"/>
        <c:axId val="155428800"/>
        <c:axId val="1"/>
      </c:lineChart>
      <c:catAx>
        <c:axId val="155428800"/>
        <c:scaling>
          <c:orientation val="minMax"/>
        </c:scaling>
        <c:delete val="0"/>
        <c:axPos val="b"/>
        <c:numFmt formatCode="General" sourceLinked="1"/>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
        <c:crosses val="autoZero"/>
        <c:auto val="1"/>
        <c:lblAlgn val="ctr"/>
        <c:lblOffset val="100"/>
        <c:tickLblSkip val="1"/>
        <c:tickMarkSkip val="1"/>
        <c:noMultiLvlLbl val="0"/>
      </c:catAx>
      <c:valAx>
        <c:axId val="1"/>
        <c:scaling>
          <c:orientation val="minMax"/>
          <c:max val="4.5"/>
          <c:min val="2.5"/>
        </c:scaling>
        <c:delete val="0"/>
        <c:axPos val="l"/>
        <c:majorGridlines>
          <c:spPr>
            <a:ln w="2520">
              <a:solidFill>
                <a:srgbClr val="000000"/>
              </a:solidFill>
              <a:prstDash val="solid"/>
            </a:ln>
          </c:spPr>
        </c:majorGridlines>
        <c:numFmt formatCode="#.000" sourceLinked="0"/>
        <c:majorTickMark val="out"/>
        <c:minorTickMark val="none"/>
        <c:tickLblPos val="nextTo"/>
        <c:spPr>
          <a:ln w="2520">
            <a:solidFill>
              <a:srgbClr val="000000"/>
            </a:solidFill>
            <a:prstDash val="solid"/>
          </a:ln>
        </c:spPr>
        <c:txPr>
          <a:bodyPr rot="0" vert="horz"/>
          <a:lstStyle/>
          <a:p>
            <a:pPr>
              <a:defRPr sz="635" b="1" i="0" u="none" strike="noStrike" baseline="0">
                <a:solidFill>
                  <a:srgbClr val="000000"/>
                </a:solidFill>
                <a:latin typeface="Arial"/>
                <a:ea typeface="Arial"/>
                <a:cs typeface="Arial"/>
              </a:defRPr>
            </a:pPr>
            <a:endParaRPr lang="de-DE"/>
          </a:p>
        </c:txPr>
        <c:crossAx val="155428800"/>
        <c:crosses val="autoZero"/>
        <c:crossBetween val="between"/>
        <c:majorUnit val="0.5"/>
      </c:valAx>
      <c:spPr>
        <a:noFill/>
        <a:ln w="2520">
          <a:solidFill>
            <a:srgbClr val="000000"/>
          </a:solidFill>
          <a:prstDash val="solid"/>
        </a:ln>
      </c:spPr>
    </c:plotArea>
    <c:legend>
      <c:legendPos val="r"/>
      <c:layout>
        <c:manualLayout>
          <c:xMode val="edge"/>
          <c:yMode val="edge"/>
          <c:x val="0.81411359724612742"/>
          <c:y val="0"/>
          <c:w val="0.10671256454388985"/>
          <c:h val="0.24786324786324787"/>
        </c:manualLayout>
      </c:layout>
      <c:overlay val="0"/>
      <c:spPr>
        <a:noFill/>
        <a:ln w="2520">
          <a:solidFill>
            <a:srgbClr val="000000"/>
          </a:solidFill>
          <a:prstDash val="solid"/>
        </a:ln>
      </c:spPr>
      <c:txPr>
        <a:bodyPr/>
        <a:lstStyle/>
        <a:p>
          <a:pPr>
            <a:defRPr sz="599" b="1"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a:noFill/>
    </a:ln>
  </c:spPr>
  <c:txPr>
    <a:bodyPr/>
    <a:lstStyle/>
    <a:p>
      <a:pPr>
        <a:defRPr sz="813"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A477-63AB-4363-BE00-0B0ACB6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Zuchtrinder– und Kälberversteigerung in Regau</vt:lpstr>
    </vt:vector>
  </TitlesOfParts>
  <Company>Landwirtschaftskammer OÖ</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Zuchtrinder– und Kälberversteigerung in Regau</dc:title>
  <dc:creator>stocthe</dc:creator>
  <cp:lastModifiedBy>Pichler Anni</cp:lastModifiedBy>
  <cp:revision>2</cp:revision>
  <cp:lastPrinted>2014-11-25T09:59:00Z</cp:lastPrinted>
  <dcterms:created xsi:type="dcterms:W3CDTF">2017-12-07T15:04:00Z</dcterms:created>
  <dcterms:modified xsi:type="dcterms:W3CDTF">2017-12-07T15:04:00Z</dcterms:modified>
</cp:coreProperties>
</file>